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仿宋_GB2312" w:cs="Times New Roman"/>
          <w:sz w:val="44"/>
          <w:szCs w:val="44"/>
        </w:rPr>
      </w:pPr>
    </w:p>
    <w:p>
      <w:pPr>
        <w:spacing w:line="584" w:lineRule="exact"/>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三河市住房和城乡建设局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住房和城乡建设局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pStyle w:val="19"/>
        <w:rPr>
          <w:rFonts w:eastAsia="仿宋_GB2312"/>
          <w:kern w:val="2"/>
          <w:sz w:val="32"/>
          <w:szCs w:val="32"/>
          <w:lang w:eastAsia="zh-CN"/>
        </w:rPr>
      </w:pPr>
      <w:r>
        <w:rPr>
          <w:rFonts w:eastAsia="仿宋_GB2312"/>
          <w:kern w:val="2"/>
          <w:sz w:val="32"/>
          <w:szCs w:val="32"/>
          <w:lang w:eastAsia="zh-CN"/>
        </w:rPr>
        <w:t>根据《三河市住房和城乡建设局职能配置、内设机构和人员编制规定》，三河市住房和城乡建设局的主要职责是：</w:t>
      </w:r>
    </w:p>
    <w:p>
      <w:pPr>
        <w:pStyle w:val="19"/>
        <w:rPr>
          <w:rFonts w:eastAsia="仿宋_GB2312"/>
          <w:kern w:val="2"/>
          <w:sz w:val="32"/>
          <w:szCs w:val="32"/>
          <w:lang w:eastAsia="zh-CN"/>
        </w:rPr>
      </w:pPr>
      <w:r>
        <w:rPr>
          <w:rFonts w:eastAsia="仿宋_GB2312"/>
          <w:kern w:val="2"/>
          <w:sz w:val="32"/>
          <w:szCs w:val="32"/>
          <w:lang w:eastAsia="zh-CN"/>
        </w:rPr>
        <w:t>贯彻落实党中央、省委、廊坊市委和市委关于住房和城乡建设工作的方针政策和决策部署，坚持和加强党对住房城乡建设工作的集中统一领导。主要职责是：</w:t>
      </w:r>
    </w:p>
    <w:p>
      <w:pPr>
        <w:pStyle w:val="19"/>
        <w:rPr>
          <w:rFonts w:eastAsia="仿宋_GB2312"/>
          <w:kern w:val="2"/>
          <w:sz w:val="32"/>
          <w:szCs w:val="32"/>
          <w:lang w:eastAsia="zh-CN"/>
        </w:rPr>
      </w:pPr>
      <w:r>
        <w:rPr>
          <w:rFonts w:eastAsia="仿宋_GB2312"/>
          <w:kern w:val="2"/>
          <w:sz w:val="32"/>
          <w:szCs w:val="32"/>
          <w:lang w:eastAsia="zh-CN"/>
        </w:rPr>
        <w:t>（一）贯彻执行国家、省市住房城乡建设及人民防空有关的方针政策和法律法规。拟订全市住房和城乡建设行业发展规划并组织实施，负责住房和城乡建设行业安全生产监管，推进住房和城乡建设领域信用体系建设。</w:t>
      </w:r>
    </w:p>
    <w:p>
      <w:pPr>
        <w:pStyle w:val="19"/>
        <w:rPr>
          <w:rFonts w:eastAsia="仿宋_GB2312"/>
          <w:kern w:val="2"/>
          <w:sz w:val="32"/>
          <w:szCs w:val="32"/>
          <w:lang w:eastAsia="zh-CN"/>
        </w:rPr>
      </w:pPr>
      <w:r>
        <w:rPr>
          <w:rFonts w:eastAsia="仿宋_GB2312"/>
          <w:kern w:val="2"/>
          <w:sz w:val="32"/>
          <w:szCs w:val="32"/>
          <w:lang w:eastAsia="zh-CN"/>
        </w:rPr>
        <w:t>（二）负责城镇低收入家庭住房保障。拟订城镇住房保障相关政策并指导实施；会同有关</w:t>
      </w:r>
      <w:r>
        <w:rPr>
          <w:rFonts w:hint="eastAsia" w:eastAsia="仿宋_GB2312"/>
          <w:kern w:val="2"/>
          <w:sz w:val="32"/>
          <w:szCs w:val="32"/>
          <w:lang w:eastAsia="zh-CN"/>
        </w:rPr>
        <w:t>单位</w:t>
      </w:r>
      <w:r>
        <w:rPr>
          <w:rFonts w:eastAsia="仿宋_GB2312"/>
          <w:kern w:val="2"/>
          <w:sz w:val="32"/>
          <w:szCs w:val="32"/>
          <w:lang w:eastAsia="zh-CN"/>
        </w:rPr>
        <w:t>做好中央和省、市城镇保障性安居工程资金安排并监督实施；组织编制、实施城镇住房保障发展规划和年度计划。</w:t>
      </w:r>
    </w:p>
    <w:p>
      <w:pPr>
        <w:pStyle w:val="19"/>
        <w:rPr>
          <w:rFonts w:eastAsia="仿宋_GB2312"/>
          <w:kern w:val="2"/>
          <w:sz w:val="32"/>
          <w:szCs w:val="32"/>
          <w:lang w:eastAsia="zh-CN"/>
        </w:rPr>
      </w:pPr>
      <w:r>
        <w:rPr>
          <w:rFonts w:eastAsia="仿宋_GB2312"/>
          <w:kern w:val="2"/>
          <w:sz w:val="32"/>
          <w:szCs w:val="32"/>
          <w:lang w:eastAsia="zh-CN"/>
        </w:rPr>
        <w:t>（三）负责推进住房制度改革。拟订适合市情的住房政策，指导住房建设，推动住房制度改革；拟订住房建设发展规划并组织实施。</w:t>
      </w:r>
    </w:p>
    <w:p>
      <w:pPr>
        <w:pStyle w:val="19"/>
        <w:rPr>
          <w:rFonts w:eastAsia="仿宋_GB2312"/>
          <w:kern w:val="2"/>
          <w:sz w:val="32"/>
          <w:szCs w:val="32"/>
          <w:lang w:eastAsia="zh-CN"/>
        </w:rPr>
      </w:pPr>
      <w:r>
        <w:rPr>
          <w:rFonts w:eastAsia="仿宋_GB2312"/>
          <w:kern w:val="2"/>
          <w:sz w:val="32"/>
          <w:szCs w:val="32"/>
          <w:lang w:eastAsia="zh-CN"/>
        </w:rPr>
        <w:t>（四）负责推行工程建设标准。组织实施工程建设实施阶段的国家标准及全国统一的行业标准；贯彻落实工程建设标准和工程量计量规则工作；贯彻落实公共服务设施(不含通信设施)建设标准；收集工程材料、人工、机械设备使用等市场价格信息。</w:t>
      </w:r>
    </w:p>
    <w:p>
      <w:pPr>
        <w:pStyle w:val="19"/>
        <w:rPr>
          <w:rFonts w:eastAsia="仿宋_GB2312"/>
          <w:kern w:val="2"/>
          <w:sz w:val="32"/>
          <w:szCs w:val="32"/>
          <w:lang w:eastAsia="zh-CN"/>
        </w:rPr>
      </w:pPr>
      <w:r>
        <w:rPr>
          <w:rFonts w:eastAsia="仿宋_GB2312"/>
          <w:kern w:val="2"/>
          <w:sz w:val="32"/>
          <w:szCs w:val="32"/>
          <w:lang w:eastAsia="zh-CN"/>
        </w:rPr>
        <w:t>（五）负责房地产市场的监督管理。会同有关</w:t>
      </w:r>
      <w:r>
        <w:rPr>
          <w:rFonts w:hint="eastAsia" w:eastAsia="仿宋_GB2312"/>
          <w:kern w:val="2"/>
          <w:sz w:val="32"/>
          <w:szCs w:val="32"/>
          <w:lang w:eastAsia="zh-CN"/>
        </w:rPr>
        <w:t>单位</w:t>
      </w:r>
      <w:r>
        <w:rPr>
          <w:rFonts w:eastAsia="仿宋_GB2312"/>
          <w:kern w:val="2"/>
          <w:sz w:val="32"/>
          <w:szCs w:val="32"/>
          <w:lang w:eastAsia="zh-CN"/>
        </w:rPr>
        <w:t>拟订房地产市场调控政策并监督执行；拟订房地产业的行业发展规划、产业政策，制定房地产开发、房屋交易、房屋租赁、房地产估价与经纪管貍、物业管理的规章制度并监督实施；指导国有土地上房屋征收与补偿工作。</w:t>
      </w:r>
    </w:p>
    <w:p>
      <w:pPr>
        <w:pStyle w:val="19"/>
        <w:rPr>
          <w:rFonts w:eastAsia="仿宋_GB2312"/>
          <w:kern w:val="2"/>
          <w:sz w:val="32"/>
          <w:szCs w:val="32"/>
          <w:lang w:eastAsia="zh-CN"/>
        </w:rPr>
      </w:pPr>
      <w:r>
        <w:rPr>
          <w:rFonts w:eastAsia="仿宋_GB2312"/>
          <w:kern w:val="2"/>
          <w:sz w:val="32"/>
          <w:szCs w:val="32"/>
          <w:lang w:eastAsia="zh-CN"/>
        </w:rPr>
        <w:t>（六）负责建筑市场的监督管理。负责国家、省规定必须招标的房屋建筑和市政基础设施工程招标投标活动的监督工作；拟订工程建设、建筑业、勘察设计的行业发展战略、中长期发展规划、产业政策、规章制度并监督执行；制定规范建筑市场各方主体行为的规章制度并监督执行。</w:t>
      </w:r>
    </w:p>
    <w:p>
      <w:pPr>
        <w:pStyle w:val="19"/>
        <w:rPr>
          <w:rFonts w:eastAsia="仿宋_GB2312"/>
          <w:kern w:val="2"/>
          <w:sz w:val="32"/>
          <w:szCs w:val="32"/>
          <w:lang w:eastAsia="zh-CN"/>
        </w:rPr>
      </w:pPr>
      <w:r>
        <w:rPr>
          <w:rFonts w:eastAsia="仿宋_GB2312"/>
          <w:kern w:val="2"/>
          <w:sz w:val="32"/>
          <w:szCs w:val="32"/>
          <w:lang w:eastAsia="zh-CN"/>
        </w:rPr>
        <w:t>（七）负责城市建设和管理工作。拟订城市建设和管理的政策、规章制度并组织实施；编制县级城市建设行业发展规划并组织实施；指导城市建设行业专业规划的编制和实施；指导、参与城市设计；指导城市市政公用设施的建设和安全运行。</w:t>
      </w:r>
    </w:p>
    <w:p>
      <w:pPr>
        <w:pStyle w:val="19"/>
        <w:rPr>
          <w:rFonts w:eastAsia="仿宋_GB2312"/>
          <w:kern w:val="2"/>
          <w:sz w:val="32"/>
          <w:szCs w:val="32"/>
          <w:lang w:eastAsia="zh-CN"/>
        </w:rPr>
      </w:pPr>
      <w:r>
        <w:rPr>
          <w:rFonts w:eastAsia="仿宋_GB2312"/>
          <w:kern w:val="2"/>
          <w:sz w:val="32"/>
          <w:szCs w:val="32"/>
          <w:lang w:eastAsia="zh-CN"/>
        </w:rPr>
        <w:t>（八）指导村镇建设工作。贯彻执行国家、省、市乡村振兴战略有关政策；指导农村住房建设、住房安全和危房改造工作；指导重点镇和特色小城镇建设工作。</w:t>
      </w:r>
    </w:p>
    <w:p>
      <w:pPr>
        <w:pStyle w:val="19"/>
        <w:rPr>
          <w:rFonts w:eastAsia="仿宋_GB2312"/>
          <w:kern w:val="2"/>
          <w:sz w:val="32"/>
          <w:szCs w:val="32"/>
          <w:lang w:eastAsia="zh-CN"/>
        </w:rPr>
      </w:pPr>
      <w:r>
        <w:rPr>
          <w:rFonts w:eastAsia="仿宋_GB2312"/>
          <w:kern w:val="2"/>
          <w:sz w:val="32"/>
          <w:szCs w:val="32"/>
          <w:lang w:eastAsia="zh-CN"/>
        </w:rPr>
        <w:t>（九）负责推进建筑节能减排。会同有关</w:t>
      </w:r>
      <w:r>
        <w:rPr>
          <w:rFonts w:hint="eastAsia" w:eastAsia="仿宋_GB2312"/>
          <w:kern w:val="2"/>
          <w:sz w:val="32"/>
          <w:szCs w:val="32"/>
          <w:lang w:eastAsia="zh-CN"/>
        </w:rPr>
        <w:t>单位</w:t>
      </w:r>
      <w:r>
        <w:rPr>
          <w:rFonts w:eastAsia="仿宋_GB2312"/>
          <w:kern w:val="2"/>
          <w:sz w:val="32"/>
          <w:szCs w:val="32"/>
          <w:lang w:eastAsia="zh-CN"/>
        </w:rPr>
        <w:t>拟订建筑节能的政策、规划并指导实施；组织实施重大建筑节能项目；指导和推动建筑节能减排、绿色建筑发展和住房城乡建设行业信息化。</w:t>
      </w:r>
    </w:p>
    <w:p>
      <w:pPr>
        <w:pStyle w:val="19"/>
        <w:rPr>
          <w:rFonts w:eastAsia="仿宋_GB2312"/>
          <w:kern w:val="2"/>
          <w:sz w:val="32"/>
          <w:szCs w:val="32"/>
          <w:lang w:eastAsia="zh-CN"/>
        </w:rPr>
      </w:pPr>
      <w:r>
        <w:rPr>
          <w:rFonts w:eastAsia="仿宋_GB2312"/>
          <w:kern w:val="2"/>
          <w:sz w:val="32"/>
          <w:szCs w:val="32"/>
          <w:lang w:eastAsia="zh-CN"/>
        </w:rPr>
        <w:t>（十）负责建筑工程质量和安全的监督管理工作。贯彻执行国家、省、市建筑工程质量、建筑安全生产、文明施工和竣工验收备案的政策、法规并组织实施，组织或参与建筑工程重大质量、安全事故的调查处理。</w:t>
      </w:r>
    </w:p>
    <w:p>
      <w:pPr>
        <w:pStyle w:val="19"/>
        <w:rPr>
          <w:rFonts w:eastAsia="仿宋_GB2312"/>
          <w:kern w:val="2"/>
          <w:sz w:val="32"/>
          <w:szCs w:val="32"/>
          <w:lang w:eastAsia="zh-CN"/>
        </w:rPr>
      </w:pPr>
      <w:r>
        <w:rPr>
          <w:rFonts w:eastAsia="仿宋_GB2312"/>
          <w:kern w:val="2"/>
          <w:sz w:val="32"/>
          <w:szCs w:val="32"/>
          <w:lang w:eastAsia="zh-CN"/>
        </w:rPr>
        <w:t>（十一）负责全市房屋安全鉴定管理工作。组织协调专业机构对全市各类房屋及镇村危旧房屋进行鉴定工作，因地制宜、分类推进市区危旧房屋改造工作。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（十二）完成市委、市政府交办的其他任务。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78"/>
        <w:gridCol w:w="1299"/>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27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29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278" w:type="dxa"/>
            <w:vMerge w:val="continue"/>
            <w:shd w:val="clear" w:color="auto" w:fill="auto"/>
            <w:vAlign w:val="center"/>
          </w:tcPr>
          <w:p/>
        </w:tc>
        <w:tc>
          <w:tcPr>
            <w:tcW w:w="1299"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278" w:type="dxa"/>
            <w:shd w:val="clear" w:color="auto" w:fill="auto"/>
            <w:vAlign w:val="center"/>
          </w:tcPr>
          <w:p>
            <w:pPr>
              <w:spacing w:line="577" w:lineRule="exact"/>
              <w:ind w:firstLine="646"/>
              <w:rPr>
                <w:rFonts w:ascii="仿宋_GB2312" w:eastAsia="仿宋_GB2312"/>
                <w:sz w:val="24"/>
                <w:szCs w:val="24"/>
              </w:rPr>
            </w:pPr>
            <w:r>
              <w:rPr>
                <w:rFonts w:hint="eastAsia" w:ascii="仿宋_GB2312" w:eastAsia="仿宋_GB2312"/>
                <w:sz w:val="24"/>
                <w:szCs w:val="24"/>
              </w:rPr>
              <w:t>三河市住房和城乡建设局(本级)</w:t>
            </w:r>
          </w:p>
        </w:tc>
        <w:tc>
          <w:tcPr>
            <w:tcW w:w="1299" w:type="dxa"/>
            <w:shd w:val="clear" w:color="auto" w:fill="auto"/>
            <w:vAlign w:val="center"/>
          </w:tcPr>
          <w:p>
            <w:pPr>
              <w:spacing w:line="577" w:lineRule="exact"/>
              <w:jc w:val="center"/>
              <w:rPr>
                <w:rFonts w:ascii="仿宋_GB2312" w:eastAsia="仿宋_GB2312"/>
                <w:sz w:val="24"/>
                <w:szCs w:val="24"/>
              </w:rPr>
            </w:pPr>
            <w:r>
              <w:rPr>
                <w:rFonts w:hint="eastAsia" w:ascii="仿宋_GB2312" w:eastAsia="仿宋_GB2312"/>
                <w:sz w:val="24"/>
                <w:szCs w:val="24"/>
              </w:rPr>
              <w:t>行政单位</w:t>
            </w:r>
          </w:p>
        </w:tc>
        <w:tc>
          <w:tcPr>
            <w:tcW w:w="1276" w:type="dxa"/>
            <w:shd w:val="clear" w:color="auto" w:fill="auto"/>
            <w:vAlign w:val="center"/>
          </w:tcPr>
          <w:p>
            <w:pPr>
              <w:spacing w:line="577" w:lineRule="exact"/>
              <w:jc w:val="center"/>
              <w:rPr>
                <w:rFonts w:ascii="仿宋_GB2312" w:eastAsia="仿宋_GB2312"/>
                <w:sz w:val="24"/>
                <w:szCs w:val="24"/>
              </w:rPr>
            </w:pPr>
            <w:r>
              <w:rPr>
                <w:rFonts w:hint="eastAsia" w:ascii="仿宋_GB2312" w:eastAsia="仿宋_GB2312"/>
                <w:sz w:val="24"/>
                <w:szCs w:val="24"/>
              </w:rPr>
              <w:t>正科级</w:t>
            </w:r>
          </w:p>
        </w:tc>
        <w:tc>
          <w:tcPr>
            <w:tcW w:w="2902" w:type="dxa"/>
            <w:shd w:val="clear" w:color="auto" w:fill="auto"/>
            <w:vAlign w:val="center"/>
          </w:tcPr>
          <w:p>
            <w:pPr>
              <w:spacing w:line="577" w:lineRule="exact"/>
              <w:ind w:firstLine="960" w:firstLineChars="400"/>
              <w:rPr>
                <w:rFonts w:ascii="仿宋_GB2312" w:eastAsia="仿宋_GB2312"/>
                <w:sz w:val="24"/>
                <w:szCs w:val="24"/>
              </w:rPr>
            </w:pPr>
            <w:r>
              <w:rPr>
                <w:rFonts w:hint="eastAsia" w:ascii="仿宋_GB2312" w:eastAsia="仿宋_GB2312"/>
                <w:sz w:val="24"/>
                <w:szCs w:val="24"/>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住房和城乡建设局</w:t>
      </w:r>
      <w:r>
        <w:rPr>
          <w:rFonts w:ascii="Times New Roman" w:hAnsi="Times New Roman" w:eastAsia="仿宋_GB2312" w:cs="Times New Roman"/>
          <w:sz w:val="32"/>
          <w:szCs w:val="32"/>
        </w:rPr>
        <w:t>机关及所属事业单位的收支包含在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2年预算收入144130.55万元，其中：一般公共预算收入36720.98万元，基金预算收入103330.38万元，财政专户核拨收入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上年结转4079.18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住房和城乡建设局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2年支出预算144130.55万元，其中基本支出3083.44万元，包括人员类项目经费2812.57万元和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公用项目经费270.87万元；运转类其他及特定目标类项目支出141047.11万元，主要为</w:t>
      </w:r>
      <w:r>
        <w:rPr>
          <w:rFonts w:hint="eastAsia" w:ascii="Times New Roman" w:hAnsi="Times New Roman" w:eastAsia="仿宋_GB2312" w:cs="Times New Roman"/>
          <w:sz w:val="32"/>
          <w:szCs w:val="32"/>
        </w:rPr>
        <w:t>农村基础设施建设工程2000万元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城市基础设施建设工程1228万元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东市区热力管网联通工程1250万元</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2年预算收支安排144130.55万元，较20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1年预算增加67823.98万元，其中：基本支出减少117.99万元，主要为</w:t>
      </w:r>
      <w:r>
        <w:rPr>
          <w:rFonts w:hint="eastAsia" w:ascii="Times New Roman" w:hAnsi="Times New Roman" w:eastAsia="仿宋_GB2312" w:cs="Times New Roman"/>
          <w:sz w:val="32"/>
          <w:szCs w:val="32"/>
        </w:rPr>
        <w:t>人员类经费和运转类公用项目经费减少</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7941.97万元，主要为</w:t>
      </w:r>
      <w:r>
        <w:rPr>
          <w:rFonts w:hint="eastAsia" w:ascii="Times New Roman" w:hAnsi="Times New Roman" w:eastAsia="仿宋_GB2312" w:cs="Times New Roman"/>
          <w:sz w:val="32"/>
          <w:szCs w:val="32"/>
        </w:rPr>
        <w:t>农村基础设施建设工程</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、东市区热力管网联通工程等</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2年，我局机关运行经费共计安排270.87万元，主要用于</w:t>
      </w:r>
      <w:r>
        <w:rPr>
          <w:rFonts w:hint="eastAsia" w:ascii="Times New Roman" w:hAnsi="Times New Roman" w:eastAsia="仿宋_GB2312" w:cs="Times New Roman"/>
          <w:sz w:val="32"/>
          <w:szCs w:val="32"/>
        </w:rPr>
        <w:t>三河市住房和城乡建设局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黑体" w:hAnsi="黑体" w:eastAsia="黑体" w:cs="黑体"/>
          <w:bCs/>
          <w:sz w:val="32"/>
          <w:szCs w:val="32"/>
        </w:rPr>
      </w:pPr>
      <w:r>
        <w:rPr>
          <w:rFonts w:hint="eastAsia" w:ascii="黑体" w:hAnsi="黑体" w:eastAsia="黑体" w:cs="黑体"/>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30万元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13.84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13.84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1.46</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少3.</w:t>
      </w:r>
      <w:r>
        <w:rPr>
          <w:rFonts w:ascii="Times New Roman" w:hAnsi="Times New Roman" w:eastAsia="仿宋_GB2312" w:cs="Times New Roman"/>
          <w:sz w:val="32"/>
          <w:szCs w:val="32"/>
        </w:rPr>
        <w:t>55万元，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公务用车运维费减</w:t>
      </w:r>
      <w:r>
        <w:rPr>
          <w:rFonts w:hint="eastAsia" w:ascii="Times New Roman" w:hAnsi="Times New Roman" w:eastAsia="仿宋_GB2312" w:cs="Times New Roman"/>
          <w:sz w:val="32"/>
          <w:szCs w:val="32"/>
        </w:rPr>
        <w:t>少3.08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1.46</w:t>
      </w:r>
      <w:r>
        <w:rPr>
          <w:rFonts w:ascii="Times New Roman" w:hAnsi="Times New Roman" w:eastAsia="仿宋_GB2312" w:cs="Times New Roman"/>
          <w:sz w:val="32"/>
          <w:szCs w:val="32"/>
        </w:rPr>
        <w:t>万元减</w:t>
      </w:r>
      <w:r>
        <w:rPr>
          <w:rFonts w:hint="eastAsia" w:ascii="Times New Roman" w:hAnsi="Times New Roman" w:eastAsia="仿宋_GB2312" w:cs="Times New Roman"/>
          <w:sz w:val="32"/>
          <w:szCs w:val="32"/>
        </w:rPr>
        <w:t>少0.4</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坚持以习近平新时代中国特色社会主义思想为指导，深入学习贯彻党的十九大和十九届二中、三中、四中、五中、六中全会精神，以中办、国办《关于推动城乡建设绿色发展的意见》为指引，以全市第七次党代会确定的“全力打造与通州区一体化高质量发展先行示范区”为目标，以县城建设和城市体检为抓手，强化基础设施建设，完善城市功能，推进城市更新，提升城市承载能力，加快转变城乡建设方式，围绕“住”“建”“管”三大方面，努力建设“宜居、绿色、韧性、智慧、人文”城市，促进经济社会发展全面绿色转型，不断增强人民群众的幸福感、获得感和满意度。</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rPr>
          <w:rFonts w:ascii="仿宋_GB2312" w:eastAsia="仿宋_GB2312" w:cs="Times New Roman"/>
          <w:sz w:val="32"/>
          <w:szCs w:val="32"/>
        </w:rPr>
      </w:pPr>
      <w:r>
        <w:rPr>
          <w:rFonts w:hint="eastAsia" w:ascii="仿宋_GB2312" w:eastAsia="仿宋_GB2312" w:cs="Times New Roman"/>
          <w:sz w:val="32"/>
          <w:szCs w:val="32"/>
        </w:rPr>
        <w:t xml:space="preserve">    1、</w:t>
      </w:r>
      <w:r>
        <w:rPr>
          <w:rFonts w:ascii="仿宋_GB2312" w:eastAsia="仿宋_GB2312" w:cs="Times New Roman"/>
          <w:sz w:val="32"/>
          <w:szCs w:val="32"/>
        </w:rPr>
        <w:t>指导村镇建设工作，谋划农村基础设施建设工程。</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绩效目标：通过项目的开展，提升土地利用效益，改善居民居住条件，提升民众幸福感和获得感。</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绩效指标：新建安置房数量2100套，工作验收合格率情况=100%，工作按期完成及时率=100%，水泥≤710元/吨，通过开展该项目，达到城中村居民居住条件明显改善的社会效益。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w:t>
      </w:r>
      <w:r>
        <w:rPr>
          <w:rFonts w:ascii="仿宋_GB2312" w:eastAsia="仿宋_GB2312" w:cs="Times New Roman"/>
          <w:sz w:val="32"/>
          <w:szCs w:val="32"/>
        </w:rPr>
        <w:t>切实加强基础设施建设，实施王里南街建设工程。</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绩效目标：完善城市路网，缓解交通拥堵情况，缓解周边住宅小区及第七小学交通压力。</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绩效指标：新建道路长度≤260米，工作验收合格率情况=100%，工作完成及时率=100%，预拌混凝土C30≤460元/吨，通过实施道路建设维修，达到对居民居住条件明显改善的社会效益。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w:t>
      </w:r>
      <w:r>
        <w:rPr>
          <w:rFonts w:ascii="仿宋_GB2312" w:eastAsia="仿宋_GB2312" w:cs="Times New Roman"/>
          <w:sz w:val="32"/>
          <w:szCs w:val="32"/>
        </w:rPr>
        <w:t>实施雨污分流，实施泃河湾小区住宅楼外墙改造工程。</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绩效目标：通过项目的开展，建立和谐的社区，提高城市良好形象。</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绩效指标：实际完成小区改造住宅楼外墙数量=15栋，工作验收合格率情况=100%，工作完成及时率=100%，保温隔热墙面/平米≤329.89元/平米，通过维护改造，达到消除和改善安全隐患的社会效益。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w:t>
      </w:r>
      <w:r>
        <w:rPr>
          <w:rFonts w:ascii="仿宋_GB2312" w:eastAsia="仿宋_GB2312" w:cs="Times New Roman"/>
          <w:sz w:val="32"/>
          <w:szCs w:val="32"/>
        </w:rPr>
        <w:t>推动公园绿地建设。抓紧实施和平公园建设工程。</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绩效目标：通过项目的开展，将为提高我市绿地率、创建国家级园林城市积蓄条件。</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绩效指标：通过建设和平公园工程21亩，验收工程质量达标率≥100%，工程及时完成率≥100%，栽植梅花（一级）单价≤608元/株，达到对城市环境有所改善的社会效益。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w:t>
      </w:r>
      <w:r>
        <w:rPr>
          <w:rFonts w:ascii="仿宋_GB2312" w:eastAsia="仿宋_GB2312" w:cs="Times New Roman"/>
          <w:sz w:val="32"/>
          <w:szCs w:val="32"/>
        </w:rPr>
        <w:t>完善制度建设。遵照市政府、市财政制定的预算绩效管理制度、资金管理办法、工作保障制度，加强</w:t>
      </w:r>
      <w:r>
        <w:rPr>
          <w:rFonts w:hint="eastAsia" w:ascii="仿宋_GB2312" w:eastAsia="仿宋_GB2312" w:cs="Times New Roman"/>
          <w:sz w:val="32"/>
          <w:szCs w:val="32"/>
          <w:lang w:eastAsia="zh-CN"/>
        </w:rPr>
        <w:t>单位</w:t>
      </w:r>
      <w:r>
        <w:rPr>
          <w:rFonts w:ascii="仿宋_GB2312" w:eastAsia="仿宋_GB2312" w:cs="Times New Roman"/>
          <w:sz w:val="32"/>
          <w:szCs w:val="32"/>
        </w:rPr>
        <w:t>制度管理，为全年预算绩效目标的实现奠定制度基础。</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w:t>
      </w:r>
      <w:r>
        <w:rPr>
          <w:rFonts w:ascii="仿宋_GB2312" w:eastAsia="仿宋_GB2312" w:cs="Times New Roman"/>
          <w:sz w:val="32"/>
          <w:szCs w:val="32"/>
        </w:rPr>
        <w:t>加强支出管理。通过优化支出结构、编细编实预算、加快履行政府采购手续、尽快启动项目、及时支付资金等多种措施，确保支出进度达标。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w:t>
      </w:r>
      <w:r>
        <w:rPr>
          <w:rFonts w:ascii="仿宋_GB2312" w:eastAsia="仿宋_GB2312" w:cs="Times New Roman"/>
          <w:sz w:val="32"/>
          <w:szCs w:val="32"/>
        </w:rPr>
        <w:t>加强绩效运行监控。按要求开展绩效运行监控，发现问题及时采取措施，确保绩效目标如期保质实现。</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w:t>
      </w:r>
      <w:r>
        <w:rPr>
          <w:rFonts w:ascii="仿宋_GB2312" w:eastAsia="仿宋_GB2312" w:cs="Times New Roman"/>
          <w:sz w:val="32"/>
          <w:szCs w:val="32"/>
        </w:rPr>
        <w:t>做好绩效自评。按要求开展上年度</w:t>
      </w:r>
      <w:r>
        <w:rPr>
          <w:rFonts w:hint="eastAsia" w:ascii="仿宋_GB2312" w:eastAsia="仿宋_GB2312" w:cs="Times New Roman"/>
          <w:sz w:val="32"/>
          <w:szCs w:val="32"/>
          <w:lang w:eastAsia="zh-CN"/>
        </w:rPr>
        <w:t>单位</w:t>
      </w:r>
      <w:r>
        <w:rPr>
          <w:rFonts w:ascii="仿宋_GB2312" w:eastAsia="仿宋_GB2312" w:cs="Times New Roman"/>
          <w:sz w:val="32"/>
          <w:szCs w:val="32"/>
        </w:rPr>
        <w:t>预算绩效自评和重点评价工作，对评价中发现的问题及时整改，调整优化支出结构，提高财政资金使用效益。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w:t>
      </w:r>
      <w:r>
        <w:rPr>
          <w:rFonts w:ascii="仿宋_GB2312" w:eastAsia="仿宋_GB2312" w:cs="Times New Roman"/>
          <w:sz w:val="32"/>
          <w:szCs w:val="32"/>
        </w:rPr>
        <w:t>规范财务资产管理。完善财务管理制度，严格审批程序，加强固定资产登记、使用和报废处置管理，做到支出合理，物尽其用。</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6、</w:t>
      </w:r>
      <w:r>
        <w:rPr>
          <w:rFonts w:ascii="仿宋_GB2312" w:eastAsia="仿宋_GB2312" w:cs="Times New Roman"/>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3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13"/>
        <w:gridCol w:w="850"/>
        <w:gridCol w:w="1276"/>
        <w:gridCol w:w="4568"/>
        <w:gridCol w:w="3118"/>
        <w:gridCol w:w="567"/>
        <w:gridCol w:w="851"/>
        <w:gridCol w:w="56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101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7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456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11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98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96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1013" w:type="dxa"/>
            <w:vMerge w:val="continue"/>
            <w:tcBorders>
              <w:tl2br w:val="nil"/>
              <w:tr2bl w:val="nil"/>
            </w:tcBorders>
            <w:vAlign w:val="center"/>
          </w:tcPr>
          <w:p/>
        </w:tc>
        <w:tc>
          <w:tcPr>
            <w:tcW w:w="850" w:type="dxa"/>
            <w:vMerge w:val="continue"/>
            <w:tcBorders>
              <w:tl2br w:val="nil"/>
              <w:tr2bl w:val="nil"/>
            </w:tcBorders>
            <w:vAlign w:val="center"/>
          </w:tcPr>
          <w:p/>
        </w:tc>
        <w:tc>
          <w:tcPr>
            <w:tcW w:w="1276" w:type="dxa"/>
            <w:vMerge w:val="continue"/>
            <w:tcBorders>
              <w:tl2br w:val="nil"/>
              <w:tr2bl w:val="nil"/>
            </w:tcBorders>
            <w:vAlign w:val="center"/>
          </w:tcPr>
          <w:p/>
        </w:tc>
        <w:tc>
          <w:tcPr>
            <w:tcW w:w="4568" w:type="dxa"/>
            <w:vMerge w:val="continue"/>
            <w:tcBorders>
              <w:tl2br w:val="nil"/>
              <w:tr2bl w:val="nil"/>
            </w:tcBorders>
            <w:vAlign w:val="center"/>
          </w:tcPr>
          <w:p/>
        </w:tc>
        <w:tc>
          <w:tcPr>
            <w:tcW w:w="3118" w:type="dxa"/>
            <w:vMerge w:val="continue"/>
            <w:tcBorders>
              <w:tl2br w:val="nil"/>
              <w:tr2bl w:val="nil"/>
            </w:tcBorders>
            <w:vAlign w:val="center"/>
          </w:tcP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5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96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1013" w:type="dxa"/>
            <w:vMerge w:val="restart"/>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lang w:eastAsia="zh-CN"/>
              </w:rPr>
              <w:t>单位</w:t>
            </w:r>
            <w:r>
              <w:rPr>
                <w:rFonts w:ascii="方正书宋_GBK" w:eastAsia="方正书宋_GBK"/>
                <w:bCs/>
              </w:rPr>
              <w:t>产出</w:t>
            </w:r>
          </w:p>
        </w:tc>
        <w:tc>
          <w:tcPr>
            <w:tcW w:w="850" w:type="dxa"/>
            <w:tcBorders>
              <w:tl2br w:val="nil"/>
              <w:tr2bl w:val="nil"/>
            </w:tcBorders>
            <w:vAlign w:val="center"/>
          </w:tcPr>
          <w:p>
            <w:pPr>
              <w:widowControl/>
              <w:adjustRightInd w:val="0"/>
              <w:snapToGrid w:val="0"/>
              <w:jc w:val="center"/>
              <w:rPr>
                <w:rFonts w:ascii="方正书宋_GBK" w:eastAsia="方正书宋_GBK"/>
                <w:bCs/>
              </w:rPr>
            </w:pPr>
            <w:r>
              <w:rPr>
                <w:rFonts w:ascii="方正书宋_GBK" w:eastAsia="方正书宋_GBK"/>
                <w:bCs/>
              </w:rPr>
              <w:t>数量</w:t>
            </w:r>
          </w:p>
        </w:tc>
        <w:tc>
          <w:tcPr>
            <w:tcW w:w="1276"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实际完成量</w:t>
            </w:r>
          </w:p>
        </w:tc>
        <w:tc>
          <w:tcPr>
            <w:tcW w:w="4568"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达到目标得权重分值的100%，目标值每降低1%，扣权重分值的1%，低于目标值的60%不得分。</w:t>
            </w:r>
          </w:p>
        </w:tc>
        <w:tc>
          <w:tcPr>
            <w:tcW w:w="3118"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改造府东路北段长度</w:t>
            </w:r>
          </w:p>
        </w:tc>
        <w:tc>
          <w:tcPr>
            <w:tcW w:w="567" w:type="dxa"/>
            <w:tcBorders>
              <w:tl2br w:val="nil"/>
              <w:tr2bl w:val="nil"/>
            </w:tcBorders>
          </w:tcPr>
          <w:p>
            <w:pPr>
              <w:widowControl/>
              <w:adjustRightInd w:val="0"/>
              <w:snapToGrid w:val="0"/>
              <w:jc w:val="center"/>
              <w:rPr>
                <w:rFonts w:ascii="方正书宋_GBK" w:eastAsia="方正书宋_GBK"/>
                <w:bCs/>
              </w:rPr>
            </w:pPr>
            <w:r>
              <w:rPr>
                <w:rFonts w:hint="eastAsia" w:ascii="方正书宋_GBK" w:eastAsia="方正书宋_GBK"/>
                <w:bCs/>
              </w:rPr>
              <w:t>=</w:t>
            </w:r>
          </w:p>
        </w:tc>
        <w:tc>
          <w:tcPr>
            <w:tcW w:w="851" w:type="dxa"/>
            <w:tcBorders>
              <w:tl2br w:val="nil"/>
              <w:tr2bl w:val="nil"/>
            </w:tcBorders>
          </w:tcPr>
          <w:p>
            <w:pPr>
              <w:widowControl/>
              <w:adjustRightInd w:val="0"/>
              <w:snapToGrid w:val="0"/>
              <w:jc w:val="center"/>
              <w:rPr>
                <w:rFonts w:ascii="方正书宋_GBK" w:eastAsia="方正书宋_GBK"/>
                <w:bCs/>
              </w:rPr>
            </w:pPr>
            <w:r>
              <w:rPr>
                <w:rFonts w:ascii="方正书宋_GBK" w:eastAsia="方正书宋_GBK"/>
                <w:bCs/>
              </w:rPr>
              <w:t>389.44</w:t>
            </w:r>
          </w:p>
        </w:tc>
        <w:tc>
          <w:tcPr>
            <w:tcW w:w="567" w:type="dxa"/>
            <w:tcBorders>
              <w:tl2br w:val="nil"/>
              <w:tr2bl w:val="nil"/>
            </w:tcBorders>
          </w:tcPr>
          <w:p>
            <w:pPr>
              <w:widowControl/>
              <w:adjustRightInd w:val="0"/>
              <w:snapToGrid w:val="0"/>
              <w:jc w:val="center"/>
              <w:rPr>
                <w:rFonts w:ascii="方正书宋_GBK" w:eastAsia="方正书宋_GBK"/>
                <w:bCs/>
              </w:rPr>
            </w:pPr>
            <w:r>
              <w:rPr>
                <w:rFonts w:hint="eastAsia" w:ascii="方正书宋_GBK" w:eastAsia="方正书宋_GBK"/>
                <w:bCs/>
              </w:rPr>
              <w:t>米</w:t>
            </w:r>
          </w:p>
        </w:tc>
        <w:tc>
          <w:tcPr>
            <w:tcW w:w="967" w:type="dxa"/>
            <w:tcBorders>
              <w:tl2br w:val="nil"/>
              <w:tr2bl w:val="nil"/>
            </w:tcBorders>
          </w:tcPr>
          <w:p>
            <w:pPr>
              <w:widowControl/>
              <w:adjustRightInd w:val="0"/>
              <w:snapToGrid w:val="0"/>
              <w:jc w:val="center"/>
              <w:rPr>
                <w:rFonts w:ascii="方正书宋_GBK" w:eastAsia="方正书宋_GBK"/>
                <w:bCs/>
              </w:rPr>
            </w:pPr>
            <w:r>
              <w:rPr>
                <w:rFonts w:hint="eastAsia" w:ascii="方正书宋_GBK" w:eastAsia="方正书宋_GBK"/>
                <w:bCs/>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13" w:type="dxa"/>
            <w:vMerge w:val="continue"/>
            <w:tcBorders>
              <w:tl2br w:val="nil"/>
              <w:tr2bl w:val="nil"/>
            </w:tcBorders>
            <w:vAlign w:val="center"/>
          </w:tcPr>
          <w:p>
            <w:pPr>
              <w:widowControl/>
              <w:adjustRightInd w:val="0"/>
              <w:snapToGrid w:val="0"/>
              <w:jc w:val="center"/>
              <w:rPr>
                <w:rFonts w:ascii="方正书宋_GBK" w:eastAsia="方正书宋_GBK"/>
                <w:bCs/>
              </w:rPr>
            </w:pPr>
          </w:p>
        </w:tc>
        <w:tc>
          <w:tcPr>
            <w:tcW w:w="850" w:type="dxa"/>
            <w:tcBorders>
              <w:tl2br w:val="nil"/>
              <w:tr2bl w:val="nil"/>
            </w:tcBorders>
            <w:vAlign w:val="center"/>
          </w:tcPr>
          <w:p>
            <w:pPr>
              <w:widowControl/>
              <w:adjustRightInd w:val="0"/>
              <w:snapToGrid w:val="0"/>
              <w:jc w:val="center"/>
              <w:rPr>
                <w:rFonts w:ascii="方正书宋_GBK" w:eastAsia="方正书宋_GBK"/>
                <w:bCs/>
              </w:rPr>
            </w:pPr>
            <w:r>
              <w:rPr>
                <w:rFonts w:ascii="方正书宋_GBK" w:eastAsia="方正书宋_GBK"/>
                <w:bCs/>
              </w:rPr>
              <w:t>质量</w:t>
            </w:r>
          </w:p>
        </w:tc>
        <w:tc>
          <w:tcPr>
            <w:tcW w:w="1276"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工作验收合格率</w:t>
            </w:r>
          </w:p>
        </w:tc>
        <w:tc>
          <w:tcPr>
            <w:tcW w:w="4568"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达到目标得权重分值的100%，目标值每降低1%，扣权重分值的1%，低于目标值的60%不得分。</w:t>
            </w:r>
          </w:p>
        </w:tc>
        <w:tc>
          <w:tcPr>
            <w:tcW w:w="3118"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王里南街建设工程工作验收合格率</w:t>
            </w:r>
          </w:p>
        </w:tc>
        <w:tc>
          <w:tcPr>
            <w:tcW w:w="567" w:type="dxa"/>
            <w:tcBorders>
              <w:tl2br w:val="nil"/>
              <w:tr2bl w:val="nil"/>
            </w:tcBorders>
          </w:tcPr>
          <w:p>
            <w:pPr>
              <w:widowControl/>
              <w:adjustRightInd w:val="0"/>
              <w:snapToGrid w:val="0"/>
              <w:jc w:val="center"/>
              <w:rPr>
                <w:rFonts w:ascii="方正书宋_GBK" w:eastAsia="方正书宋_GBK"/>
                <w:bCs/>
              </w:rPr>
            </w:pPr>
            <w:r>
              <w:rPr>
                <w:rFonts w:hint="eastAsia" w:ascii="方正书宋_GBK" w:eastAsia="方正书宋_GBK"/>
                <w:bCs/>
              </w:rPr>
              <w:t>=</w:t>
            </w:r>
          </w:p>
        </w:tc>
        <w:tc>
          <w:tcPr>
            <w:tcW w:w="851" w:type="dxa"/>
            <w:tcBorders>
              <w:tl2br w:val="nil"/>
              <w:tr2bl w:val="nil"/>
            </w:tcBorders>
          </w:tcPr>
          <w:p>
            <w:pPr>
              <w:widowControl/>
              <w:adjustRightInd w:val="0"/>
              <w:snapToGrid w:val="0"/>
              <w:jc w:val="center"/>
              <w:rPr>
                <w:rFonts w:ascii="方正书宋_GBK" w:eastAsia="方正书宋_GBK"/>
                <w:bCs/>
              </w:rPr>
            </w:pPr>
            <w:r>
              <w:rPr>
                <w:rFonts w:ascii="方正书宋_GBK" w:eastAsia="方正书宋_GBK"/>
                <w:bCs/>
              </w:rPr>
              <w:t>100</w:t>
            </w:r>
          </w:p>
        </w:tc>
        <w:tc>
          <w:tcPr>
            <w:tcW w:w="567" w:type="dxa"/>
            <w:tcBorders>
              <w:tl2br w:val="nil"/>
              <w:tr2bl w:val="nil"/>
            </w:tcBorders>
          </w:tcPr>
          <w:p>
            <w:pPr>
              <w:widowControl/>
              <w:adjustRightInd w:val="0"/>
              <w:snapToGrid w:val="0"/>
              <w:jc w:val="center"/>
              <w:rPr>
                <w:rFonts w:ascii="方正书宋_GBK" w:eastAsia="方正书宋_GBK"/>
                <w:bCs/>
              </w:rPr>
            </w:pPr>
            <w:r>
              <w:rPr>
                <w:rFonts w:ascii="方正书宋_GBK" w:eastAsia="方正书宋_GBK"/>
                <w:bCs/>
              </w:rPr>
              <w:t>%</w:t>
            </w:r>
          </w:p>
        </w:tc>
        <w:tc>
          <w:tcPr>
            <w:tcW w:w="967" w:type="dxa"/>
            <w:tcBorders>
              <w:tl2br w:val="nil"/>
              <w:tr2bl w:val="nil"/>
            </w:tcBorders>
          </w:tcPr>
          <w:p>
            <w:pPr>
              <w:widowControl/>
              <w:adjustRightInd w:val="0"/>
              <w:snapToGrid w:val="0"/>
              <w:jc w:val="center"/>
              <w:rPr>
                <w:rFonts w:ascii="方正书宋_GBK" w:eastAsia="方正书宋_GBK"/>
                <w:bCs/>
              </w:rPr>
            </w:pPr>
            <w:r>
              <w:rPr>
                <w:rFonts w:hint="eastAsia" w:ascii="方正书宋_GBK" w:eastAsia="方正书宋_GBK"/>
                <w:bCs/>
              </w:rPr>
              <w:t>施工合同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1013" w:type="dxa"/>
            <w:vMerge w:val="continue"/>
            <w:tcBorders>
              <w:tl2br w:val="nil"/>
              <w:tr2bl w:val="nil"/>
            </w:tcBorders>
            <w:vAlign w:val="center"/>
          </w:tcPr>
          <w:p>
            <w:pPr>
              <w:widowControl/>
              <w:adjustRightInd w:val="0"/>
              <w:snapToGrid w:val="0"/>
              <w:jc w:val="center"/>
              <w:rPr>
                <w:rFonts w:ascii="方正书宋_GBK" w:eastAsia="方正书宋_GBK"/>
                <w:bCs/>
              </w:rPr>
            </w:pPr>
          </w:p>
        </w:tc>
        <w:tc>
          <w:tcPr>
            <w:tcW w:w="850" w:type="dxa"/>
            <w:tcBorders>
              <w:tl2br w:val="nil"/>
              <w:tr2bl w:val="nil"/>
            </w:tcBorders>
            <w:vAlign w:val="center"/>
          </w:tcPr>
          <w:p>
            <w:pPr>
              <w:widowControl/>
              <w:adjustRightInd w:val="0"/>
              <w:snapToGrid w:val="0"/>
              <w:jc w:val="center"/>
              <w:rPr>
                <w:rFonts w:ascii="方正书宋_GBK" w:eastAsia="方正书宋_GBK"/>
                <w:bCs/>
              </w:rPr>
            </w:pPr>
            <w:r>
              <w:rPr>
                <w:rFonts w:ascii="方正书宋_GBK" w:eastAsia="方正书宋_GBK"/>
                <w:bCs/>
              </w:rPr>
              <w:t>时效</w:t>
            </w:r>
          </w:p>
        </w:tc>
        <w:tc>
          <w:tcPr>
            <w:tcW w:w="1276"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各项工作完成及时率</w:t>
            </w:r>
          </w:p>
        </w:tc>
        <w:tc>
          <w:tcPr>
            <w:tcW w:w="4568"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达到目标得权重分值的100%，目标值每降低1%，扣权重分值的1%，低于目标值的60%不得分。</w:t>
            </w:r>
          </w:p>
        </w:tc>
        <w:tc>
          <w:tcPr>
            <w:tcW w:w="3118"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泃河湾小区住宅楼外墙改造工程工作完成及时率</w:t>
            </w:r>
          </w:p>
        </w:tc>
        <w:tc>
          <w:tcPr>
            <w:tcW w:w="567"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w:t>
            </w:r>
          </w:p>
        </w:tc>
        <w:tc>
          <w:tcPr>
            <w:tcW w:w="851" w:type="dxa"/>
            <w:tcBorders>
              <w:tl2br w:val="nil"/>
              <w:tr2bl w:val="nil"/>
            </w:tcBorders>
          </w:tcPr>
          <w:p>
            <w:pPr>
              <w:widowControl/>
              <w:adjustRightInd w:val="0"/>
              <w:snapToGrid w:val="0"/>
              <w:jc w:val="center"/>
              <w:rPr>
                <w:rFonts w:ascii="方正书宋_GBK" w:eastAsia="方正书宋_GBK"/>
                <w:bCs/>
              </w:rPr>
            </w:pPr>
            <w:r>
              <w:rPr>
                <w:rFonts w:ascii="方正书宋_GBK" w:eastAsia="方正书宋_GBK"/>
                <w:bCs/>
              </w:rPr>
              <w:t>100</w:t>
            </w:r>
          </w:p>
        </w:tc>
        <w:tc>
          <w:tcPr>
            <w:tcW w:w="567" w:type="dxa"/>
            <w:tcBorders>
              <w:tl2br w:val="nil"/>
              <w:tr2bl w:val="nil"/>
            </w:tcBorders>
          </w:tcPr>
          <w:p>
            <w:pPr>
              <w:widowControl/>
              <w:adjustRightInd w:val="0"/>
              <w:snapToGrid w:val="0"/>
              <w:jc w:val="center"/>
              <w:rPr>
                <w:rFonts w:ascii="方正书宋_GBK" w:eastAsia="方正书宋_GBK"/>
                <w:bCs/>
              </w:rPr>
            </w:pPr>
            <w:r>
              <w:rPr>
                <w:rFonts w:ascii="方正书宋_GBK" w:eastAsia="方正书宋_GBK"/>
                <w:bCs/>
              </w:rPr>
              <w:t>%</w:t>
            </w:r>
          </w:p>
        </w:tc>
        <w:tc>
          <w:tcPr>
            <w:tcW w:w="967" w:type="dxa"/>
            <w:tcBorders>
              <w:tl2br w:val="nil"/>
              <w:tr2bl w:val="nil"/>
            </w:tcBorders>
          </w:tcPr>
          <w:p>
            <w:pPr>
              <w:widowControl/>
              <w:adjustRightInd w:val="0"/>
              <w:snapToGrid w:val="0"/>
              <w:jc w:val="center"/>
              <w:rPr>
                <w:rFonts w:ascii="方正书宋_GBK" w:eastAsia="方正书宋_GBK"/>
                <w:bCs/>
              </w:rPr>
            </w:pPr>
            <w:r>
              <w:rPr>
                <w:rFonts w:hint="eastAsia" w:ascii="方正书宋_GBK" w:eastAsia="方正书宋_GBK"/>
                <w:bCs/>
              </w:rPr>
              <w:t>合同要求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13" w:type="dxa"/>
            <w:vMerge w:val="continue"/>
            <w:tcBorders>
              <w:tl2br w:val="nil"/>
              <w:tr2bl w:val="nil"/>
            </w:tcBorders>
            <w:vAlign w:val="center"/>
          </w:tcPr>
          <w:p>
            <w:pPr>
              <w:widowControl/>
              <w:adjustRightInd w:val="0"/>
              <w:snapToGrid w:val="0"/>
              <w:jc w:val="center"/>
              <w:rPr>
                <w:rFonts w:ascii="方正书宋_GBK" w:eastAsia="方正书宋_GBK"/>
                <w:bCs/>
              </w:rPr>
            </w:pPr>
          </w:p>
        </w:tc>
        <w:tc>
          <w:tcPr>
            <w:tcW w:w="850" w:type="dxa"/>
            <w:tcBorders>
              <w:tl2br w:val="nil"/>
              <w:tr2bl w:val="nil"/>
            </w:tcBorders>
            <w:vAlign w:val="center"/>
          </w:tcPr>
          <w:p>
            <w:pPr>
              <w:widowControl/>
              <w:adjustRightInd w:val="0"/>
              <w:snapToGrid w:val="0"/>
              <w:jc w:val="center"/>
              <w:rPr>
                <w:rFonts w:ascii="方正书宋_GBK" w:eastAsia="方正书宋_GBK"/>
                <w:bCs/>
              </w:rPr>
            </w:pPr>
            <w:r>
              <w:rPr>
                <w:rFonts w:ascii="方正书宋_GBK" w:eastAsia="方正书宋_GBK"/>
                <w:bCs/>
              </w:rPr>
              <w:t>成本</w:t>
            </w:r>
          </w:p>
        </w:tc>
        <w:tc>
          <w:tcPr>
            <w:tcW w:w="1276"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藤本月季单价</w:t>
            </w:r>
          </w:p>
        </w:tc>
        <w:tc>
          <w:tcPr>
            <w:tcW w:w="4568"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达到目标得权重分值的100%，目标值每降低1%，扣权重分值的1%，低于目标值的60%不得分。</w:t>
            </w:r>
          </w:p>
        </w:tc>
        <w:tc>
          <w:tcPr>
            <w:tcW w:w="3118"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西环路综合整治工程藤本月季单价</w:t>
            </w:r>
          </w:p>
        </w:tc>
        <w:tc>
          <w:tcPr>
            <w:tcW w:w="567" w:type="dxa"/>
            <w:tcBorders>
              <w:tl2br w:val="nil"/>
              <w:tr2bl w:val="nil"/>
            </w:tcBorders>
          </w:tcPr>
          <w:p>
            <w:pPr>
              <w:widowControl/>
              <w:adjustRightInd w:val="0"/>
              <w:snapToGrid w:val="0"/>
              <w:jc w:val="center"/>
              <w:rPr>
                <w:rFonts w:ascii="方正书宋_GBK" w:eastAsia="方正书宋_GBK"/>
                <w:bCs/>
              </w:rPr>
            </w:pPr>
            <w:r>
              <w:rPr>
                <w:rFonts w:hint="eastAsia" w:ascii="方正书宋_GBK" w:eastAsia="方正书宋_GBK"/>
                <w:bCs/>
              </w:rPr>
              <w:t>≤</w:t>
            </w:r>
          </w:p>
        </w:tc>
        <w:tc>
          <w:tcPr>
            <w:tcW w:w="851" w:type="dxa"/>
            <w:tcBorders>
              <w:tl2br w:val="nil"/>
              <w:tr2bl w:val="nil"/>
            </w:tcBorders>
          </w:tcPr>
          <w:p>
            <w:pPr>
              <w:widowControl/>
              <w:adjustRightInd w:val="0"/>
              <w:snapToGrid w:val="0"/>
              <w:jc w:val="center"/>
              <w:rPr>
                <w:rFonts w:ascii="方正书宋_GBK" w:eastAsia="方正书宋_GBK"/>
                <w:bCs/>
              </w:rPr>
            </w:pPr>
            <w:r>
              <w:rPr>
                <w:rFonts w:ascii="方正书宋_GBK" w:eastAsia="方正书宋_GBK"/>
                <w:bCs/>
              </w:rPr>
              <w:t>11</w:t>
            </w:r>
          </w:p>
        </w:tc>
        <w:tc>
          <w:tcPr>
            <w:tcW w:w="567" w:type="dxa"/>
            <w:tcBorders>
              <w:tl2br w:val="nil"/>
              <w:tr2bl w:val="nil"/>
            </w:tcBorders>
          </w:tcPr>
          <w:p>
            <w:pPr>
              <w:widowControl/>
              <w:adjustRightInd w:val="0"/>
              <w:snapToGrid w:val="0"/>
              <w:jc w:val="center"/>
              <w:rPr>
                <w:rFonts w:ascii="方正书宋_GBK" w:eastAsia="方正书宋_GBK"/>
                <w:bCs/>
              </w:rPr>
            </w:pPr>
            <w:r>
              <w:rPr>
                <w:rFonts w:hint="eastAsia" w:ascii="方正书宋_GBK" w:eastAsia="方正书宋_GBK"/>
                <w:bCs/>
              </w:rPr>
              <w:t>元</w:t>
            </w:r>
          </w:p>
        </w:tc>
        <w:tc>
          <w:tcPr>
            <w:tcW w:w="967" w:type="dxa"/>
            <w:tcBorders>
              <w:tl2br w:val="nil"/>
              <w:tr2bl w:val="nil"/>
            </w:tcBorders>
          </w:tcPr>
          <w:p>
            <w:pPr>
              <w:widowControl/>
              <w:adjustRightInd w:val="0"/>
              <w:snapToGrid w:val="0"/>
              <w:jc w:val="center"/>
              <w:rPr>
                <w:rFonts w:ascii="方正书宋_GBK" w:eastAsia="方正书宋_GBK"/>
                <w:bCs/>
              </w:rPr>
            </w:pPr>
            <w:r>
              <w:rPr>
                <w:rFonts w:hint="eastAsia" w:ascii="方正书宋_GBK" w:eastAsia="方正书宋_GBK"/>
                <w:bCs/>
              </w:rPr>
              <w:t>结算报告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13" w:type="dxa"/>
            <w:vMerge w:val="restart"/>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lang w:eastAsia="zh-CN"/>
              </w:rPr>
              <w:t>单位</w:t>
            </w:r>
            <w:r>
              <w:rPr>
                <w:rFonts w:hint="eastAsia" w:ascii="方正书宋_GBK" w:eastAsia="方正书宋_GBK"/>
                <w:bCs/>
              </w:rPr>
              <w:t>效果</w:t>
            </w:r>
          </w:p>
        </w:tc>
        <w:tc>
          <w:tcPr>
            <w:tcW w:w="850" w:type="dxa"/>
            <w:tcBorders>
              <w:tl2br w:val="nil"/>
              <w:tr2bl w:val="nil"/>
            </w:tcBorders>
            <w:vAlign w:val="center"/>
          </w:tcPr>
          <w:p>
            <w:pPr>
              <w:widowControl/>
              <w:adjustRightInd w:val="0"/>
              <w:snapToGrid w:val="0"/>
              <w:jc w:val="center"/>
              <w:rPr>
                <w:rFonts w:ascii="方正书宋_GBK" w:eastAsia="方正书宋_GBK"/>
                <w:bCs/>
              </w:rPr>
            </w:pPr>
            <w:r>
              <w:rPr>
                <w:rFonts w:ascii="方正书宋_GBK" w:eastAsia="方正书宋_GBK"/>
                <w:bCs/>
              </w:rPr>
              <w:t>社会</w:t>
            </w:r>
          </w:p>
          <w:p>
            <w:pPr>
              <w:widowControl/>
              <w:adjustRightInd w:val="0"/>
              <w:snapToGrid w:val="0"/>
              <w:jc w:val="center"/>
              <w:rPr>
                <w:rFonts w:ascii="方正书宋_GBK" w:eastAsia="方正书宋_GBK"/>
                <w:bCs/>
              </w:rPr>
            </w:pPr>
            <w:r>
              <w:rPr>
                <w:rFonts w:ascii="方正书宋_GBK" w:eastAsia="方正书宋_GBK"/>
                <w:bCs/>
              </w:rPr>
              <w:t>效益</w:t>
            </w:r>
          </w:p>
        </w:tc>
        <w:tc>
          <w:tcPr>
            <w:tcW w:w="1276"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隐患消除情况</w:t>
            </w:r>
          </w:p>
        </w:tc>
        <w:tc>
          <w:tcPr>
            <w:tcW w:w="4568"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达到目标得权重分值的100%，目标值每降低1%，扣权重分值的1%，低于目标值的60%不得分。</w:t>
            </w:r>
          </w:p>
        </w:tc>
        <w:tc>
          <w:tcPr>
            <w:tcW w:w="3118"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泃河湾小区住宅外墙改造工程，通过维护改造，消除改善安全隐患的情况</w:t>
            </w:r>
          </w:p>
        </w:tc>
        <w:tc>
          <w:tcPr>
            <w:tcW w:w="567" w:type="dxa"/>
            <w:tcBorders>
              <w:tl2br w:val="nil"/>
              <w:tr2bl w:val="nil"/>
            </w:tcBorders>
          </w:tcPr>
          <w:p>
            <w:pPr>
              <w:widowControl/>
              <w:adjustRightInd w:val="0"/>
              <w:snapToGrid w:val="0"/>
              <w:jc w:val="center"/>
              <w:rPr>
                <w:rFonts w:ascii="方正书宋_GBK" w:eastAsia="方正书宋_GBK"/>
                <w:bCs/>
              </w:rPr>
            </w:pPr>
            <w:r>
              <w:rPr>
                <w:rFonts w:ascii="方正书宋_GBK" w:eastAsia="方正书宋_GBK"/>
                <w:bCs/>
              </w:rPr>
              <w:t>文字描述</w:t>
            </w:r>
          </w:p>
        </w:tc>
        <w:tc>
          <w:tcPr>
            <w:tcW w:w="851" w:type="dxa"/>
            <w:tcBorders>
              <w:tl2br w:val="nil"/>
              <w:tr2bl w:val="nil"/>
            </w:tcBorders>
          </w:tcPr>
          <w:p>
            <w:pPr>
              <w:widowControl/>
              <w:adjustRightInd w:val="0"/>
              <w:snapToGrid w:val="0"/>
              <w:jc w:val="center"/>
              <w:rPr>
                <w:rFonts w:ascii="方正书宋_GBK" w:eastAsia="方正书宋_GBK"/>
                <w:bCs/>
              </w:rPr>
            </w:pPr>
          </w:p>
        </w:tc>
        <w:tc>
          <w:tcPr>
            <w:tcW w:w="567" w:type="dxa"/>
            <w:tcBorders>
              <w:tl2br w:val="nil"/>
              <w:tr2bl w:val="nil"/>
            </w:tcBorders>
          </w:tcPr>
          <w:p>
            <w:pPr>
              <w:widowControl/>
              <w:adjustRightInd w:val="0"/>
              <w:snapToGrid w:val="0"/>
              <w:jc w:val="center"/>
              <w:rPr>
                <w:rFonts w:ascii="方正书宋_GBK" w:eastAsia="方正书宋_GBK"/>
                <w:bCs/>
              </w:rPr>
            </w:pPr>
            <w:r>
              <w:rPr>
                <w:rFonts w:hint="eastAsia" w:ascii="方正书宋_GBK" w:eastAsia="方正书宋_GBK"/>
                <w:bCs/>
              </w:rPr>
              <w:t>有所改造</w:t>
            </w:r>
          </w:p>
        </w:tc>
        <w:tc>
          <w:tcPr>
            <w:tcW w:w="967" w:type="dxa"/>
            <w:tcBorders>
              <w:tl2br w:val="nil"/>
              <w:tr2bl w:val="nil"/>
            </w:tcBorders>
          </w:tcPr>
          <w:p>
            <w:pPr>
              <w:widowControl/>
              <w:adjustRightInd w:val="0"/>
              <w:snapToGrid w:val="0"/>
              <w:jc w:val="center"/>
              <w:rPr>
                <w:rFonts w:ascii="方正书宋_GBK" w:eastAsia="方正书宋_GBK"/>
                <w:bCs/>
              </w:rPr>
            </w:pPr>
            <w:r>
              <w:rPr>
                <w:rFonts w:hint="eastAsia" w:ascii="方正书宋_GBK" w:eastAsia="方正书宋_GBK"/>
                <w:bCs/>
              </w:rPr>
              <w:t>合同要求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1013" w:type="dxa"/>
            <w:vMerge w:val="continue"/>
            <w:tcBorders>
              <w:tl2br w:val="nil"/>
              <w:tr2bl w:val="nil"/>
            </w:tcBorders>
            <w:vAlign w:val="center"/>
          </w:tcPr>
          <w:p>
            <w:pPr>
              <w:widowControl/>
              <w:adjustRightInd w:val="0"/>
              <w:snapToGrid w:val="0"/>
              <w:jc w:val="center"/>
              <w:rPr>
                <w:rFonts w:ascii="方正书宋_GBK" w:eastAsia="方正书宋_GBK"/>
                <w:bCs/>
              </w:rPr>
            </w:pPr>
          </w:p>
        </w:tc>
        <w:tc>
          <w:tcPr>
            <w:tcW w:w="850" w:type="dxa"/>
            <w:tcBorders>
              <w:tl2br w:val="nil"/>
              <w:tr2bl w:val="nil"/>
            </w:tcBorders>
            <w:vAlign w:val="center"/>
          </w:tcPr>
          <w:p>
            <w:pPr>
              <w:widowControl/>
              <w:adjustRightInd w:val="0"/>
              <w:snapToGrid w:val="0"/>
              <w:jc w:val="center"/>
              <w:rPr>
                <w:rFonts w:ascii="方正书宋_GBK" w:eastAsia="方正书宋_GBK"/>
                <w:bCs/>
              </w:rPr>
            </w:pPr>
            <w:r>
              <w:rPr>
                <w:rFonts w:hint="eastAsia" w:ascii="方正书宋_GBK" w:eastAsia="方正书宋_GBK"/>
                <w:bCs/>
              </w:rPr>
              <w:t>满意度</w:t>
            </w:r>
          </w:p>
        </w:tc>
        <w:tc>
          <w:tcPr>
            <w:tcW w:w="1276" w:type="dxa"/>
            <w:tcBorders>
              <w:tl2br w:val="nil"/>
              <w:tr2bl w:val="nil"/>
            </w:tcBorders>
            <w:noWrap/>
            <w:vAlign w:val="center"/>
          </w:tcPr>
          <w:p>
            <w:pPr>
              <w:widowControl/>
              <w:adjustRightInd w:val="0"/>
              <w:snapToGrid w:val="0"/>
              <w:jc w:val="center"/>
              <w:rPr>
                <w:rFonts w:ascii="方正书宋_GBK" w:eastAsia="方正书宋_GBK"/>
                <w:bCs/>
              </w:rPr>
            </w:pPr>
            <w:r>
              <w:rPr>
                <w:rFonts w:hint="eastAsia" w:ascii="方正书宋_GBK" w:eastAsia="方正书宋_GBK"/>
                <w:bCs/>
              </w:rPr>
              <w:t>服务对象满意度（%）</w:t>
            </w:r>
          </w:p>
        </w:tc>
        <w:tc>
          <w:tcPr>
            <w:tcW w:w="4568" w:type="dxa"/>
            <w:tcBorders>
              <w:tl2br w:val="nil"/>
              <w:tr2bl w:val="nil"/>
            </w:tcBorders>
            <w:noWrap/>
            <w:vAlign w:val="center"/>
          </w:tcPr>
          <w:p>
            <w:pPr>
              <w:widowControl/>
              <w:adjustRightInd w:val="0"/>
              <w:snapToGrid w:val="0"/>
              <w:jc w:val="center"/>
              <w:rPr>
                <w:rFonts w:ascii="方正书宋_GBK" w:eastAsia="方正书宋_GBK"/>
                <w:bCs/>
              </w:rPr>
            </w:pPr>
            <w:r>
              <w:rPr>
                <w:rFonts w:hint="eastAsia" w:ascii="方正书宋_GBK" w:eastAsia="方正书宋_GBK"/>
                <w:bCs/>
              </w:rPr>
              <w:t>达到目标得权重分值的100%，目标值每降低1%，扣权重分值的1%，低于目标值的60%不得分。</w:t>
            </w:r>
          </w:p>
        </w:tc>
        <w:tc>
          <w:tcPr>
            <w:tcW w:w="3118" w:type="dxa"/>
            <w:tcBorders>
              <w:tl2br w:val="nil"/>
              <w:tr2bl w:val="nil"/>
            </w:tcBorders>
            <w:noWrap/>
            <w:vAlign w:val="center"/>
          </w:tcPr>
          <w:p>
            <w:pPr>
              <w:widowControl/>
              <w:adjustRightInd w:val="0"/>
              <w:snapToGrid w:val="0"/>
              <w:jc w:val="center"/>
              <w:rPr>
                <w:rFonts w:ascii="方正书宋_GBK" w:eastAsia="方正书宋_GBK"/>
                <w:bCs/>
              </w:rPr>
            </w:pPr>
            <w:r>
              <w:rPr>
                <w:rFonts w:hint="eastAsia" w:ascii="方正书宋_GBK" w:eastAsia="方正书宋_GBK"/>
                <w:bCs/>
              </w:rPr>
              <w:t>建兴路北延工程调查中满意人数占调查总人数的比例</w:t>
            </w:r>
          </w:p>
        </w:tc>
        <w:tc>
          <w:tcPr>
            <w:tcW w:w="567" w:type="dxa"/>
            <w:tcBorders>
              <w:tl2br w:val="nil"/>
              <w:tr2bl w:val="nil"/>
            </w:tcBorders>
          </w:tcPr>
          <w:p>
            <w:pPr>
              <w:widowControl/>
              <w:adjustRightInd w:val="0"/>
              <w:snapToGrid w:val="0"/>
              <w:jc w:val="center"/>
              <w:rPr>
                <w:rFonts w:ascii="方正书宋_GBK" w:eastAsia="方正书宋_GBK"/>
                <w:bCs/>
              </w:rPr>
            </w:pPr>
            <w:r>
              <w:rPr>
                <w:rFonts w:hint="eastAsia" w:ascii="方正书宋_GBK" w:eastAsia="方正书宋_GBK"/>
                <w:bCs/>
              </w:rPr>
              <w:t>≥</w:t>
            </w:r>
          </w:p>
        </w:tc>
        <w:tc>
          <w:tcPr>
            <w:tcW w:w="851" w:type="dxa"/>
            <w:tcBorders>
              <w:tl2br w:val="nil"/>
              <w:tr2bl w:val="nil"/>
            </w:tcBorders>
          </w:tcPr>
          <w:p>
            <w:pPr>
              <w:widowControl/>
              <w:adjustRightInd w:val="0"/>
              <w:snapToGrid w:val="0"/>
              <w:jc w:val="center"/>
              <w:rPr>
                <w:rFonts w:ascii="方正书宋_GBK" w:eastAsia="方正书宋_GBK"/>
                <w:bCs/>
              </w:rPr>
            </w:pPr>
            <w:r>
              <w:rPr>
                <w:rFonts w:hint="eastAsia" w:ascii="方正书宋_GBK" w:eastAsia="方正书宋_GBK"/>
                <w:bCs/>
              </w:rPr>
              <w:t>90</w:t>
            </w:r>
          </w:p>
        </w:tc>
        <w:tc>
          <w:tcPr>
            <w:tcW w:w="567" w:type="dxa"/>
            <w:tcBorders>
              <w:tl2br w:val="nil"/>
              <w:tr2bl w:val="nil"/>
            </w:tcBorders>
          </w:tcPr>
          <w:p>
            <w:pPr>
              <w:widowControl/>
              <w:adjustRightInd w:val="0"/>
              <w:snapToGrid w:val="0"/>
              <w:jc w:val="center"/>
              <w:rPr>
                <w:rFonts w:ascii="方正书宋_GBK" w:eastAsia="方正书宋_GBK"/>
                <w:bCs/>
              </w:rPr>
            </w:pPr>
            <w:r>
              <w:rPr>
                <w:rFonts w:hint="eastAsia" w:ascii="方正书宋_GBK" w:eastAsia="方正书宋_GBK"/>
                <w:bCs/>
              </w:rPr>
              <w:t>%</w:t>
            </w:r>
          </w:p>
        </w:tc>
        <w:tc>
          <w:tcPr>
            <w:tcW w:w="967" w:type="dxa"/>
            <w:tcBorders>
              <w:tl2br w:val="nil"/>
              <w:tr2bl w:val="nil"/>
            </w:tcBorders>
          </w:tcPr>
          <w:p>
            <w:pPr>
              <w:widowControl/>
              <w:adjustRightInd w:val="0"/>
              <w:snapToGrid w:val="0"/>
              <w:jc w:val="center"/>
              <w:rPr>
                <w:rFonts w:ascii="方正书宋_GBK" w:eastAsia="方正书宋_GBK"/>
                <w:bCs/>
              </w:rPr>
            </w:pPr>
            <w:r>
              <w:rPr>
                <w:rFonts w:hint="eastAsia" w:ascii="方正书宋_GBK" w:eastAsia="方正书宋_GBK"/>
                <w:bCs/>
              </w:rPr>
              <w:t>调查问卷</w:t>
            </w:r>
          </w:p>
        </w:tc>
      </w:tr>
    </w:tbl>
    <w:p>
      <w:pPr>
        <w:widowControl/>
        <w:adjustRightInd w:val="0"/>
        <w:snapToGrid w:val="0"/>
        <w:jc w:val="center"/>
        <w:rPr>
          <w:rFonts w:ascii="方正书宋_GBK" w:eastAsia="方正书宋_GBK"/>
          <w:bCs/>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1.</w:t>
      </w:r>
      <w:r>
        <w:rPr>
          <w:rFonts w:ascii="方正仿宋_GBK" w:hAnsi="方正仿宋_GBK" w:eastAsia="方正仿宋_GBK" w:cs="方正仿宋_GBK"/>
          <w:color w:val="000000"/>
          <w:sz w:val="28"/>
        </w:rPr>
        <w:t xml:space="preserve"> </w:t>
      </w:r>
      <w:bookmarkStart w:id="0" w:name="_Hlk97125464"/>
      <w:r>
        <w:rPr>
          <w:rFonts w:ascii="方正仿宋_GBK" w:hAnsi="方正仿宋_GBK" w:eastAsia="方正仿宋_GBK" w:cs="方正仿宋_GBK"/>
          <w:color w:val="000000"/>
          <w:sz w:val="28"/>
        </w:rPr>
        <w:t>2022年供热运行补贴资金绩效目标表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cs="Times New Roman" w:asciiTheme="minorEastAsia" w:hAnsiTheme="minorEastAsia" w:eastAsiaTheme="minorEastAsia"/>
                <w:bCs/>
              </w:rPr>
            </w:pPr>
            <w:r>
              <w:rPr>
                <w:rFonts w:cs="Times New Roman" w:asciiTheme="minorEastAsia" w:hAnsiTheme="minorEastAsia" w:eastAsiaTheme="minorEastAsia"/>
                <w:bCs/>
              </w:rPr>
              <w:t>按时供热，确保供热质量，提高供热服务水平。用户室温达到供、热双方合同确定的室温标准或当地政府主管</w:t>
            </w:r>
            <w:r>
              <w:rPr>
                <w:rFonts w:hint="eastAsia" w:cs="Times New Roman" w:asciiTheme="minorEastAsia" w:hAnsiTheme="minorEastAsia" w:eastAsiaTheme="minorEastAsia"/>
                <w:bCs/>
                <w:lang w:eastAsia="zh-CN"/>
              </w:rPr>
              <w:t>单位</w:t>
            </w:r>
            <w:r>
              <w:rPr>
                <w:rFonts w:cs="Times New Roman" w:asciiTheme="minorEastAsia" w:hAnsiTheme="minorEastAsia" w:eastAsiaTheme="minorEastAsia"/>
                <w:bCs/>
              </w:rPr>
              <w:t>规定的室温标准，用户室温合格率应在98%以上，用户报修应及时处理，处理及时报修率应达到100%。做到用户室温合格率在98%以上，报修处理率达到100%。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r>
              <w:rPr>
                <w:rFonts w:hint="eastAsia"/>
              </w:rPr>
              <w:t>数量指标</w:t>
            </w:r>
          </w:p>
        </w:tc>
        <w:tc>
          <w:tcPr>
            <w:tcW w:w="1985" w:type="dxa"/>
            <w:shd w:val="clear" w:color="auto" w:fill="auto"/>
            <w:vAlign w:val="center"/>
          </w:tcPr>
          <w:p>
            <w:r>
              <w:rPr>
                <w:rFonts w:hint="eastAsia"/>
              </w:rPr>
              <w:t>用户报修完成率（%）</w:t>
            </w:r>
          </w:p>
        </w:tc>
        <w:tc>
          <w:tcPr>
            <w:tcW w:w="3402" w:type="dxa"/>
            <w:shd w:val="clear" w:color="auto" w:fill="auto"/>
            <w:vAlign w:val="center"/>
          </w:tcPr>
          <w:p>
            <w:r>
              <w:rPr>
                <w:rFonts w:hint="eastAsia"/>
              </w:rPr>
              <w:t>用户报修完成的数量占总报修数量的比率</w:t>
            </w:r>
          </w:p>
        </w:tc>
        <w:tc>
          <w:tcPr>
            <w:tcW w:w="1843" w:type="dxa"/>
            <w:shd w:val="clear" w:color="auto" w:fill="auto"/>
            <w:vAlign w:val="center"/>
          </w:tcPr>
          <w:p>
            <w:r>
              <w:rPr>
                <w:rFonts w:hint="eastAsia"/>
              </w:rPr>
              <w:t>＝100%</w:t>
            </w:r>
          </w:p>
        </w:tc>
        <w:tc>
          <w:tcPr>
            <w:tcW w:w="2155" w:type="dxa"/>
            <w:shd w:val="clear" w:color="auto" w:fill="auto"/>
            <w:vAlign w:val="center"/>
          </w:tcPr>
          <w:p>
            <w:r>
              <w:rPr>
                <w:rFonts w:hint="eastAsia"/>
              </w:rPr>
              <w:t>实际发生数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r>
              <w:rPr>
                <w:rFonts w:hint="eastAsia"/>
              </w:rPr>
              <w:t>质量指标</w:t>
            </w:r>
          </w:p>
        </w:tc>
        <w:tc>
          <w:tcPr>
            <w:tcW w:w="1985" w:type="dxa"/>
            <w:shd w:val="clear" w:color="auto" w:fill="auto"/>
            <w:vAlign w:val="center"/>
          </w:tcPr>
          <w:p>
            <w:r>
              <w:rPr>
                <w:rFonts w:hint="eastAsia"/>
              </w:rPr>
              <w:t>用户室温合格率（%）</w:t>
            </w:r>
          </w:p>
        </w:tc>
        <w:tc>
          <w:tcPr>
            <w:tcW w:w="3402" w:type="dxa"/>
            <w:shd w:val="clear" w:color="auto" w:fill="auto"/>
            <w:vAlign w:val="center"/>
          </w:tcPr>
          <w:p>
            <w:r>
              <w:rPr>
                <w:rFonts w:hint="eastAsia"/>
              </w:rPr>
              <w:t>用户室温合格数占总供暖数的比率</w:t>
            </w:r>
          </w:p>
        </w:tc>
        <w:tc>
          <w:tcPr>
            <w:tcW w:w="1843" w:type="dxa"/>
            <w:shd w:val="clear" w:color="auto" w:fill="auto"/>
            <w:vAlign w:val="center"/>
          </w:tcPr>
          <w:p>
            <w:r>
              <w:rPr>
                <w:rFonts w:hint="eastAsia"/>
              </w:rPr>
              <w:t>≥98%</w:t>
            </w:r>
          </w:p>
        </w:tc>
        <w:tc>
          <w:tcPr>
            <w:tcW w:w="2155" w:type="dxa"/>
            <w:shd w:val="clear" w:color="auto" w:fill="auto"/>
            <w:vAlign w:val="center"/>
          </w:tcPr>
          <w:p>
            <w:r>
              <w:rPr>
                <w:rFonts w:hint="eastAsia"/>
              </w:rPr>
              <w:t>实际发生数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r>
              <w:rPr>
                <w:rFonts w:hint="eastAsia"/>
              </w:rPr>
              <w:t>成本指标</w:t>
            </w:r>
          </w:p>
        </w:tc>
        <w:tc>
          <w:tcPr>
            <w:tcW w:w="1985" w:type="dxa"/>
            <w:shd w:val="clear" w:color="auto" w:fill="auto"/>
            <w:vAlign w:val="center"/>
          </w:tcPr>
          <w:p>
            <w:r>
              <w:rPr>
                <w:rFonts w:hint="eastAsia"/>
              </w:rPr>
              <w:t>每平方米单位成本（元/平方米）</w:t>
            </w:r>
          </w:p>
        </w:tc>
        <w:tc>
          <w:tcPr>
            <w:tcW w:w="3402" w:type="dxa"/>
            <w:shd w:val="clear" w:color="auto" w:fill="auto"/>
            <w:vAlign w:val="center"/>
          </w:tcPr>
          <w:p>
            <w:r>
              <w:rPr>
                <w:rFonts w:hint="eastAsia"/>
              </w:rPr>
              <w:t>供暖季费用支出占实际供暖面积单位成本</w:t>
            </w:r>
          </w:p>
        </w:tc>
        <w:tc>
          <w:tcPr>
            <w:tcW w:w="1843" w:type="dxa"/>
            <w:shd w:val="clear" w:color="auto" w:fill="auto"/>
            <w:vAlign w:val="center"/>
          </w:tcPr>
          <w:p>
            <w:r>
              <w:rPr>
                <w:rFonts w:hint="eastAsia"/>
              </w:rPr>
              <w:t>≤25元/平方米</w:t>
            </w:r>
          </w:p>
        </w:tc>
        <w:tc>
          <w:tcPr>
            <w:tcW w:w="2155" w:type="dxa"/>
            <w:shd w:val="clear" w:color="auto" w:fill="auto"/>
            <w:vAlign w:val="center"/>
          </w:tcPr>
          <w:p>
            <w:r>
              <w:rPr>
                <w:rFonts w:hint="eastAsia"/>
              </w:rPr>
              <w:t>物价标准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r>
              <w:rPr>
                <w:rFonts w:hint="eastAsia"/>
              </w:rPr>
              <w:t>时效指标</w:t>
            </w:r>
          </w:p>
        </w:tc>
        <w:tc>
          <w:tcPr>
            <w:tcW w:w="1985" w:type="dxa"/>
            <w:shd w:val="clear" w:color="auto" w:fill="auto"/>
            <w:vAlign w:val="center"/>
          </w:tcPr>
          <w:p>
            <w:r>
              <w:rPr>
                <w:rFonts w:hint="eastAsia"/>
              </w:rPr>
              <w:t>工程按期完成率（%）</w:t>
            </w:r>
          </w:p>
        </w:tc>
        <w:tc>
          <w:tcPr>
            <w:tcW w:w="3402" w:type="dxa"/>
            <w:shd w:val="clear" w:color="auto" w:fill="auto"/>
            <w:vAlign w:val="center"/>
          </w:tcPr>
          <w:p>
            <w:r>
              <w:rPr>
                <w:rFonts w:hint="eastAsia"/>
              </w:rPr>
              <w:t>按期完成的工程量占总工程量的比率</w:t>
            </w:r>
          </w:p>
        </w:tc>
        <w:tc>
          <w:tcPr>
            <w:tcW w:w="1843" w:type="dxa"/>
            <w:shd w:val="clear" w:color="auto" w:fill="auto"/>
            <w:vAlign w:val="center"/>
          </w:tcPr>
          <w:p>
            <w:r>
              <w:rPr>
                <w:rFonts w:hint="eastAsia"/>
              </w:rPr>
              <w:t>＝100%</w:t>
            </w:r>
          </w:p>
        </w:tc>
        <w:tc>
          <w:tcPr>
            <w:tcW w:w="2155" w:type="dxa"/>
            <w:shd w:val="clear" w:color="auto" w:fill="auto"/>
            <w:vAlign w:val="center"/>
          </w:tcPr>
          <w:p>
            <w:r>
              <w:rPr>
                <w:rFonts w:hint="eastAsia"/>
              </w:rPr>
              <w:t>实际发生数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r>
              <w:rPr>
                <w:rFonts w:hint="eastAsia"/>
              </w:rPr>
              <w:t>社会效益指标</w:t>
            </w:r>
          </w:p>
        </w:tc>
        <w:tc>
          <w:tcPr>
            <w:tcW w:w="1985" w:type="dxa"/>
            <w:shd w:val="clear" w:color="auto" w:fill="auto"/>
            <w:vAlign w:val="center"/>
          </w:tcPr>
          <w:p>
            <w:r>
              <w:rPr>
                <w:rFonts w:hint="eastAsia"/>
              </w:rPr>
              <w:t>隐患消除完成率（%）</w:t>
            </w:r>
          </w:p>
        </w:tc>
        <w:tc>
          <w:tcPr>
            <w:tcW w:w="3402" w:type="dxa"/>
            <w:shd w:val="clear" w:color="auto" w:fill="auto"/>
            <w:vAlign w:val="center"/>
          </w:tcPr>
          <w:p>
            <w:r>
              <w:rPr>
                <w:rFonts w:hint="eastAsia"/>
              </w:rPr>
              <w:t>通过维护改造，消除安全隐患的比率</w:t>
            </w:r>
          </w:p>
        </w:tc>
        <w:tc>
          <w:tcPr>
            <w:tcW w:w="1843" w:type="dxa"/>
            <w:shd w:val="clear" w:color="auto" w:fill="auto"/>
            <w:vAlign w:val="center"/>
          </w:tcPr>
          <w:p>
            <w:r>
              <w:rPr>
                <w:rFonts w:hint="eastAsia"/>
              </w:rPr>
              <w:t>≥90%</w:t>
            </w:r>
          </w:p>
        </w:tc>
        <w:tc>
          <w:tcPr>
            <w:tcW w:w="2155" w:type="dxa"/>
            <w:shd w:val="clear" w:color="auto" w:fill="auto"/>
            <w:vAlign w:val="center"/>
          </w:tcPr>
          <w:p>
            <w:r>
              <w:rPr>
                <w:rFonts w:hint="eastAsia"/>
              </w:rPr>
              <w:t>实际发生数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r>
              <w:rPr>
                <w:rFonts w:hint="eastAsia"/>
              </w:rPr>
              <w:t>服务对象满意度指标</w:t>
            </w:r>
          </w:p>
        </w:tc>
        <w:tc>
          <w:tcPr>
            <w:tcW w:w="1985" w:type="dxa"/>
            <w:shd w:val="clear" w:color="auto" w:fill="auto"/>
            <w:vAlign w:val="center"/>
          </w:tcPr>
          <w:p>
            <w:r>
              <w:rPr>
                <w:rFonts w:hint="eastAsia"/>
              </w:rPr>
              <w:t>热用户满意度（%）</w:t>
            </w:r>
          </w:p>
        </w:tc>
        <w:tc>
          <w:tcPr>
            <w:tcW w:w="3402" w:type="dxa"/>
            <w:shd w:val="clear" w:color="auto" w:fill="auto"/>
            <w:vAlign w:val="center"/>
          </w:tcPr>
          <w:p>
            <w:r>
              <w:rPr>
                <w:rFonts w:hint="eastAsia"/>
              </w:rPr>
              <w:t>热用户调查中，满意和较满意的人数占全部调查人数的比率</w:t>
            </w:r>
          </w:p>
        </w:tc>
        <w:tc>
          <w:tcPr>
            <w:tcW w:w="1843" w:type="dxa"/>
            <w:shd w:val="clear" w:color="auto" w:fill="auto"/>
            <w:vAlign w:val="center"/>
          </w:tcPr>
          <w:p>
            <w:r>
              <w:rPr>
                <w:rFonts w:hint="eastAsia"/>
              </w:rPr>
              <w:t>≥90%</w:t>
            </w:r>
          </w:p>
        </w:tc>
        <w:tc>
          <w:tcPr>
            <w:tcW w:w="2155" w:type="dxa"/>
            <w:shd w:val="clear" w:color="auto" w:fill="auto"/>
            <w:vAlign w:val="center"/>
          </w:tcPr>
          <w:p>
            <w:r>
              <w:rPr>
                <w:rFonts w:hint="eastAsia"/>
              </w:rPr>
              <w:t>满意度调查表</w:t>
            </w:r>
          </w:p>
        </w:tc>
      </w:tr>
      <w:bookmarkEnd w:id="0"/>
    </w:tbl>
    <w:p>
      <w:pPr>
        <w:ind w:firstLine="560"/>
        <w:outlineLvl w:val="3"/>
      </w:pPr>
      <w:bookmarkStart w:id="1" w:name="_Toc_4_4_0000000005"/>
      <w:bookmarkStart w:id="2" w:name="_Hlk97191215"/>
      <w:r>
        <w:rPr>
          <w:rFonts w:ascii="方正仿宋_GBK" w:hAnsi="方正仿宋_GBK" w:eastAsia="方正仿宋_GBK" w:cs="方正仿宋_GBK"/>
          <w:color w:val="000000"/>
          <w:sz w:val="28"/>
        </w:rPr>
        <w:t>2.泃阳大街绿化隔离带挡雪板拆安工程（园林）绩效目标表</w:t>
      </w:r>
      <w:bookmarkEnd w:id="1"/>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pPr>
            <w:r>
              <w:t>通过项目的开展充分发挥挡雪板冬季防护作用，更好保护绿化隔离带景观效果。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tcPr>
          <w:p>
            <w:pPr>
              <w:jc w:val="left"/>
            </w:pPr>
            <w:r>
              <w:rPr>
                <w:rFonts w:hint="eastAsia"/>
              </w:rPr>
              <w:t>数量指标</w:t>
            </w:r>
          </w:p>
        </w:tc>
        <w:tc>
          <w:tcPr>
            <w:tcW w:w="1985" w:type="dxa"/>
            <w:shd w:val="clear" w:color="auto" w:fill="auto"/>
          </w:tcPr>
          <w:p>
            <w:pPr>
              <w:jc w:val="left"/>
            </w:pPr>
            <w:r>
              <w:rPr>
                <w:rFonts w:hint="eastAsia"/>
              </w:rPr>
              <w:t>需要安装挡雪板长度</w:t>
            </w:r>
          </w:p>
        </w:tc>
        <w:tc>
          <w:tcPr>
            <w:tcW w:w="3402" w:type="dxa"/>
            <w:shd w:val="clear" w:color="auto" w:fill="auto"/>
          </w:tcPr>
          <w:p>
            <w:pPr>
              <w:jc w:val="left"/>
            </w:pPr>
            <w:r>
              <w:rPr>
                <w:rFonts w:hint="eastAsia"/>
              </w:rPr>
              <w:t>需要安装挡雪板的泃阳大街绿化隔离带长度</w:t>
            </w:r>
          </w:p>
        </w:tc>
        <w:tc>
          <w:tcPr>
            <w:tcW w:w="1843" w:type="dxa"/>
            <w:shd w:val="clear" w:color="auto" w:fill="auto"/>
          </w:tcPr>
          <w:p>
            <w:pPr>
              <w:jc w:val="left"/>
            </w:pPr>
            <w:r>
              <w:rPr>
                <w:rFonts w:hint="eastAsia"/>
              </w:rPr>
              <w:t>≤16500米</w:t>
            </w:r>
          </w:p>
        </w:tc>
        <w:tc>
          <w:tcPr>
            <w:tcW w:w="2155" w:type="dxa"/>
            <w:shd w:val="clear" w:color="auto" w:fill="auto"/>
          </w:tcPr>
          <w:p>
            <w:pPr>
              <w:jc w:val="left"/>
            </w:pPr>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jc w:val="left"/>
            </w:pPr>
            <w:r>
              <w:rPr>
                <w:rFonts w:hint="eastAsia"/>
              </w:rPr>
              <w:t>质量指标</w:t>
            </w:r>
          </w:p>
        </w:tc>
        <w:tc>
          <w:tcPr>
            <w:tcW w:w="1985" w:type="dxa"/>
            <w:shd w:val="clear" w:color="auto" w:fill="auto"/>
          </w:tcPr>
          <w:p>
            <w:pPr>
              <w:jc w:val="left"/>
            </w:pPr>
            <w:r>
              <w:rPr>
                <w:rFonts w:hint="eastAsia"/>
              </w:rPr>
              <w:t>日常巡查覆盖率（%）</w:t>
            </w:r>
          </w:p>
        </w:tc>
        <w:tc>
          <w:tcPr>
            <w:tcW w:w="3402" w:type="dxa"/>
            <w:shd w:val="clear" w:color="auto" w:fill="auto"/>
          </w:tcPr>
          <w:p>
            <w:pPr>
              <w:jc w:val="left"/>
            </w:pPr>
            <w:r>
              <w:rPr>
                <w:rFonts w:hint="eastAsia"/>
              </w:rPr>
              <w:t>日常巡查平均面积占总面积的比例</w:t>
            </w:r>
          </w:p>
        </w:tc>
        <w:tc>
          <w:tcPr>
            <w:tcW w:w="1843" w:type="dxa"/>
            <w:shd w:val="clear" w:color="auto" w:fill="auto"/>
          </w:tcPr>
          <w:p>
            <w:pPr>
              <w:jc w:val="left"/>
            </w:pPr>
            <w:r>
              <w:rPr>
                <w:rFonts w:hint="eastAsia"/>
              </w:rPr>
              <w:t>≥98%</w:t>
            </w:r>
          </w:p>
        </w:tc>
        <w:tc>
          <w:tcPr>
            <w:tcW w:w="2155" w:type="dxa"/>
            <w:shd w:val="clear" w:color="auto" w:fill="auto"/>
          </w:tcPr>
          <w:p>
            <w:pPr>
              <w:jc w:val="left"/>
            </w:pPr>
            <w:r>
              <w:rPr>
                <w:rFonts w:hint="eastAsia"/>
              </w:rPr>
              <w:t>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jc w:val="left"/>
            </w:pPr>
            <w:r>
              <w:rPr>
                <w:rFonts w:hint="eastAsia"/>
              </w:rPr>
              <w:t>时效指标</w:t>
            </w:r>
          </w:p>
        </w:tc>
        <w:tc>
          <w:tcPr>
            <w:tcW w:w="1985" w:type="dxa"/>
            <w:shd w:val="clear" w:color="auto" w:fill="auto"/>
          </w:tcPr>
          <w:p>
            <w:pPr>
              <w:jc w:val="left"/>
            </w:pPr>
            <w:r>
              <w:rPr>
                <w:rFonts w:hint="eastAsia"/>
              </w:rPr>
              <w:t>日常养护频率（天）</w:t>
            </w:r>
          </w:p>
        </w:tc>
        <w:tc>
          <w:tcPr>
            <w:tcW w:w="3402" w:type="dxa"/>
            <w:shd w:val="clear" w:color="auto" w:fill="auto"/>
          </w:tcPr>
          <w:p>
            <w:pPr>
              <w:jc w:val="left"/>
            </w:pPr>
            <w:r>
              <w:rPr>
                <w:rFonts w:hint="eastAsia"/>
              </w:rPr>
              <w:t>当年实际日常管护频率</w:t>
            </w:r>
          </w:p>
        </w:tc>
        <w:tc>
          <w:tcPr>
            <w:tcW w:w="1843" w:type="dxa"/>
            <w:shd w:val="clear" w:color="auto" w:fill="auto"/>
          </w:tcPr>
          <w:p>
            <w:pPr>
              <w:jc w:val="left"/>
            </w:pPr>
            <w:r>
              <w:rPr>
                <w:rFonts w:hint="eastAsia"/>
              </w:rPr>
              <w:t>≥99天</w:t>
            </w:r>
          </w:p>
        </w:tc>
        <w:tc>
          <w:tcPr>
            <w:tcW w:w="2155" w:type="dxa"/>
            <w:shd w:val="clear" w:color="auto" w:fill="auto"/>
          </w:tcPr>
          <w:p>
            <w:pPr>
              <w:jc w:val="left"/>
            </w:pPr>
            <w:r>
              <w:rPr>
                <w:rFonts w:hint="eastAsia"/>
              </w:rPr>
              <w:t>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jc w:val="left"/>
            </w:pPr>
            <w:r>
              <w:rPr>
                <w:rFonts w:hint="eastAsia"/>
              </w:rPr>
              <w:t>成本指标</w:t>
            </w:r>
          </w:p>
        </w:tc>
        <w:tc>
          <w:tcPr>
            <w:tcW w:w="1985" w:type="dxa"/>
            <w:shd w:val="clear" w:color="auto" w:fill="auto"/>
          </w:tcPr>
          <w:p>
            <w:pPr>
              <w:jc w:val="left"/>
            </w:pPr>
            <w:r>
              <w:rPr>
                <w:rFonts w:hint="eastAsia"/>
              </w:rPr>
              <w:t>挡雪板安装每延米单位成本价格</w:t>
            </w:r>
          </w:p>
        </w:tc>
        <w:tc>
          <w:tcPr>
            <w:tcW w:w="3402" w:type="dxa"/>
            <w:shd w:val="clear" w:color="auto" w:fill="auto"/>
          </w:tcPr>
          <w:p>
            <w:pPr>
              <w:jc w:val="left"/>
            </w:pPr>
            <w:r>
              <w:rPr>
                <w:rFonts w:hint="eastAsia"/>
              </w:rPr>
              <w:t>控制挡雪板安装每延米单位成本价格</w:t>
            </w:r>
          </w:p>
        </w:tc>
        <w:tc>
          <w:tcPr>
            <w:tcW w:w="1843" w:type="dxa"/>
            <w:shd w:val="clear" w:color="auto" w:fill="auto"/>
          </w:tcPr>
          <w:p>
            <w:pPr>
              <w:jc w:val="left"/>
            </w:pPr>
            <w:r>
              <w:rPr>
                <w:rFonts w:hint="eastAsia"/>
              </w:rPr>
              <w:t>≤55元/延米</w:t>
            </w:r>
          </w:p>
        </w:tc>
        <w:tc>
          <w:tcPr>
            <w:tcW w:w="2155" w:type="dxa"/>
            <w:shd w:val="clear" w:color="auto" w:fill="auto"/>
          </w:tcPr>
          <w:p>
            <w:pPr>
              <w:jc w:val="left"/>
            </w:pPr>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tcPr>
          <w:p>
            <w:pPr>
              <w:jc w:val="left"/>
            </w:pPr>
            <w:r>
              <w:rPr>
                <w:rFonts w:hint="eastAsia"/>
              </w:rPr>
              <w:t>社会效益指标</w:t>
            </w:r>
          </w:p>
        </w:tc>
        <w:tc>
          <w:tcPr>
            <w:tcW w:w="1985" w:type="dxa"/>
            <w:shd w:val="clear" w:color="auto" w:fill="auto"/>
          </w:tcPr>
          <w:p>
            <w:pPr>
              <w:jc w:val="left"/>
            </w:pPr>
            <w:r>
              <w:rPr>
                <w:rFonts w:hint="eastAsia"/>
              </w:rPr>
              <w:t>隐患消除及时率（%）</w:t>
            </w:r>
          </w:p>
        </w:tc>
        <w:tc>
          <w:tcPr>
            <w:tcW w:w="3402" w:type="dxa"/>
            <w:shd w:val="clear" w:color="auto" w:fill="auto"/>
          </w:tcPr>
          <w:p>
            <w:pPr>
              <w:jc w:val="left"/>
            </w:pPr>
            <w:r>
              <w:rPr>
                <w:rFonts w:hint="eastAsia"/>
              </w:rPr>
              <w:t>及时消除安全隐患占存在安全隐患的比率</w:t>
            </w:r>
          </w:p>
        </w:tc>
        <w:tc>
          <w:tcPr>
            <w:tcW w:w="1843" w:type="dxa"/>
            <w:shd w:val="clear" w:color="auto" w:fill="auto"/>
          </w:tcPr>
          <w:p>
            <w:pPr>
              <w:jc w:val="left"/>
            </w:pPr>
            <w:r>
              <w:rPr>
                <w:rFonts w:hint="eastAsia"/>
              </w:rPr>
              <w:t>≥95%</w:t>
            </w:r>
          </w:p>
        </w:tc>
        <w:tc>
          <w:tcPr>
            <w:tcW w:w="2155" w:type="dxa"/>
            <w:shd w:val="clear" w:color="auto" w:fill="auto"/>
          </w:tcPr>
          <w:p>
            <w:pPr>
              <w:jc w:val="left"/>
            </w:pPr>
            <w:r>
              <w:rPr>
                <w:rFonts w:hint="eastAsia"/>
              </w:rPr>
              <w:t>《河北省城市绿地养护与水体景观管理技术导则》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tcPr>
          <w:p>
            <w:pPr>
              <w:jc w:val="left"/>
            </w:pPr>
            <w:r>
              <w:rPr>
                <w:rFonts w:hint="eastAsia"/>
              </w:rPr>
              <w:t>服务对象满意度指标</w:t>
            </w:r>
          </w:p>
        </w:tc>
        <w:tc>
          <w:tcPr>
            <w:tcW w:w="1985" w:type="dxa"/>
            <w:shd w:val="clear" w:color="auto" w:fill="auto"/>
          </w:tcPr>
          <w:p>
            <w:pPr>
              <w:jc w:val="left"/>
            </w:pPr>
            <w:r>
              <w:rPr>
                <w:rFonts w:hint="eastAsia"/>
              </w:rPr>
              <w:t>市民对安装挡雪板的满意率</w:t>
            </w:r>
          </w:p>
        </w:tc>
        <w:tc>
          <w:tcPr>
            <w:tcW w:w="3402" w:type="dxa"/>
            <w:shd w:val="clear" w:color="auto" w:fill="auto"/>
          </w:tcPr>
          <w:p>
            <w:pPr>
              <w:jc w:val="left"/>
            </w:pPr>
            <w:r>
              <w:rPr>
                <w:rFonts w:hint="eastAsia"/>
              </w:rPr>
              <w:t>满意与基本满意的总人数与调查总人数的比例</w:t>
            </w:r>
          </w:p>
        </w:tc>
        <w:tc>
          <w:tcPr>
            <w:tcW w:w="1843" w:type="dxa"/>
            <w:shd w:val="clear" w:color="auto" w:fill="auto"/>
          </w:tcPr>
          <w:p>
            <w:pPr>
              <w:jc w:val="left"/>
            </w:pPr>
            <w:r>
              <w:rPr>
                <w:rFonts w:hint="eastAsia"/>
              </w:rPr>
              <w:t>≥90%</w:t>
            </w:r>
          </w:p>
        </w:tc>
        <w:tc>
          <w:tcPr>
            <w:tcW w:w="2155" w:type="dxa"/>
            <w:shd w:val="clear" w:color="auto" w:fill="auto"/>
          </w:tcPr>
          <w:p>
            <w:pPr>
              <w:jc w:val="left"/>
            </w:pPr>
            <w:r>
              <w:rPr>
                <w:rFonts w:hint="eastAsia"/>
              </w:rPr>
              <w:t>满意度调查表</w:t>
            </w:r>
          </w:p>
        </w:tc>
      </w:tr>
      <w:bookmarkEnd w:id="2"/>
    </w:tbl>
    <w:p>
      <w:pPr>
        <w:ind w:firstLine="560"/>
        <w:outlineLvl w:val="3"/>
      </w:pPr>
      <w:bookmarkStart w:id="3" w:name="_Toc_4_4_0000000006"/>
      <w:r>
        <w:rPr>
          <w:rFonts w:ascii="方正仿宋_GBK" w:hAnsi="方正仿宋_GBK" w:eastAsia="方正仿宋_GBK" w:cs="方正仿宋_GBK"/>
          <w:color w:val="000000"/>
          <w:sz w:val="28"/>
        </w:rPr>
        <w:t>3.安全生产经费绩效目标表</w:t>
      </w:r>
      <w:bookmarkEnd w:id="3"/>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通过宣传贯彻执行国家、省、市有关安全生产法律法规，提高全市房地产、物业和建筑企业安全生产意识，消除安全隐患，创造安全规范、安定和谐的企业运行环境。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tcPr>
          <w:p>
            <w:pPr>
              <w:jc w:val="left"/>
            </w:pPr>
            <w:r>
              <w:rPr>
                <w:rFonts w:hint="eastAsia"/>
              </w:rPr>
              <w:t>数量指标</w:t>
            </w:r>
          </w:p>
        </w:tc>
        <w:tc>
          <w:tcPr>
            <w:tcW w:w="1985" w:type="dxa"/>
            <w:shd w:val="clear" w:color="auto" w:fill="auto"/>
          </w:tcPr>
          <w:p>
            <w:pPr>
              <w:jc w:val="left"/>
            </w:pPr>
            <w:r>
              <w:rPr>
                <w:rFonts w:hint="eastAsia"/>
              </w:rPr>
              <w:t>开展安全培训的次数</w:t>
            </w:r>
          </w:p>
        </w:tc>
        <w:tc>
          <w:tcPr>
            <w:tcW w:w="3402" w:type="dxa"/>
            <w:shd w:val="clear" w:color="auto" w:fill="auto"/>
          </w:tcPr>
          <w:p>
            <w:pPr>
              <w:jc w:val="left"/>
            </w:pPr>
            <w:r>
              <w:rPr>
                <w:rFonts w:hint="eastAsia"/>
              </w:rPr>
              <w:t>全年组织开展安全生产培训的次数</w:t>
            </w:r>
          </w:p>
        </w:tc>
        <w:tc>
          <w:tcPr>
            <w:tcW w:w="1843" w:type="dxa"/>
            <w:shd w:val="clear" w:color="auto" w:fill="auto"/>
          </w:tcPr>
          <w:p>
            <w:pPr>
              <w:jc w:val="left"/>
            </w:pPr>
            <w:r>
              <w:rPr>
                <w:rFonts w:hint="eastAsia"/>
              </w:rPr>
              <w:t>≥1次</w:t>
            </w:r>
          </w:p>
        </w:tc>
        <w:tc>
          <w:tcPr>
            <w:tcW w:w="2155" w:type="dxa"/>
            <w:shd w:val="clear" w:color="auto" w:fill="auto"/>
          </w:tcPr>
          <w:p>
            <w:pPr>
              <w:jc w:val="left"/>
            </w:pPr>
            <w:r>
              <w:rPr>
                <w:rFonts w:hint="eastAsia"/>
              </w:rPr>
              <w:t>培训记录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jc w:val="left"/>
            </w:pPr>
            <w:r>
              <w:rPr>
                <w:rFonts w:hint="eastAsia"/>
              </w:rPr>
              <w:t>质量指标</w:t>
            </w:r>
          </w:p>
        </w:tc>
        <w:tc>
          <w:tcPr>
            <w:tcW w:w="1985" w:type="dxa"/>
            <w:shd w:val="clear" w:color="auto" w:fill="auto"/>
          </w:tcPr>
          <w:p>
            <w:pPr>
              <w:jc w:val="left"/>
            </w:pPr>
            <w:r>
              <w:rPr>
                <w:rFonts w:hint="eastAsia"/>
              </w:rPr>
              <w:t>正常运转率</w:t>
            </w:r>
          </w:p>
        </w:tc>
        <w:tc>
          <w:tcPr>
            <w:tcW w:w="3402" w:type="dxa"/>
            <w:shd w:val="clear" w:color="auto" w:fill="auto"/>
          </w:tcPr>
          <w:p>
            <w:pPr>
              <w:jc w:val="left"/>
            </w:pPr>
            <w:r>
              <w:rPr>
                <w:rFonts w:hint="eastAsia"/>
              </w:rPr>
              <w:t>使安全生产工作正常运转的比率</w:t>
            </w:r>
          </w:p>
        </w:tc>
        <w:tc>
          <w:tcPr>
            <w:tcW w:w="1843" w:type="dxa"/>
            <w:shd w:val="clear" w:color="auto" w:fill="auto"/>
          </w:tcPr>
          <w:p>
            <w:pPr>
              <w:jc w:val="left"/>
            </w:pPr>
            <w:r>
              <w:rPr>
                <w:rFonts w:hint="eastAsia"/>
              </w:rPr>
              <w:t>100%</w:t>
            </w:r>
          </w:p>
        </w:tc>
        <w:tc>
          <w:tcPr>
            <w:tcW w:w="2155" w:type="dxa"/>
            <w:shd w:val="clear" w:color="auto" w:fill="auto"/>
          </w:tcPr>
          <w:p>
            <w:pPr>
              <w:jc w:val="left"/>
            </w:pPr>
            <w:r>
              <w:rPr>
                <w:rFonts w:hint="eastAsia"/>
              </w:rPr>
              <w:t>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jc w:val="left"/>
            </w:pPr>
            <w:r>
              <w:rPr>
                <w:rFonts w:hint="eastAsia"/>
              </w:rPr>
              <w:t>时效指标</w:t>
            </w:r>
          </w:p>
        </w:tc>
        <w:tc>
          <w:tcPr>
            <w:tcW w:w="1985" w:type="dxa"/>
            <w:shd w:val="clear" w:color="auto" w:fill="auto"/>
          </w:tcPr>
          <w:p>
            <w:pPr>
              <w:jc w:val="left"/>
            </w:pPr>
            <w:r>
              <w:rPr>
                <w:rFonts w:hint="eastAsia"/>
              </w:rPr>
              <w:t>安全生产检查的时效性</w:t>
            </w:r>
          </w:p>
        </w:tc>
        <w:tc>
          <w:tcPr>
            <w:tcW w:w="3402" w:type="dxa"/>
            <w:shd w:val="clear" w:color="auto" w:fill="auto"/>
          </w:tcPr>
          <w:p>
            <w:pPr>
              <w:jc w:val="left"/>
            </w:pPr>
            <w:r>
              <w:rPr>
                <w:rFonts w:hint="eastAsia"/>
              </w:rPr>
              <w:t>安全生产检查的时效性</w:t>
            </w:r>
          </w:p>
        </w:tc>
        <w:tc>
          <w:tcPr>
            <w:tcW w:w="1843" w:type="dxa"/>
            <w:shd w:val="clear" w:color="auto" w:fill="auto"/>
          </w:tcPr>
          <w:p>
            <w:pPr>
              <w:jc w:val="left"/>
            </w:pPr>
            <w:r>
              <w:rPr>
                <w:rFonts w:hint="eastAsia"/>
              </w:rPr>
              <w:t>100%</w:t>
            </w:r>
          </w:p>
        </w:tc>
        <w:tc>
          <w:tcPr>
            <w:tcW w:w="2155" w:type="dxa"/>
            <w:shd w:val="clear" w:color="auto" w:fill="auto"/>
          </w:tcPr>
          <w:p>
            <w:pPr>
              <w:jc w:val="left"/>
            </w:pPr>
            <w:r>
              <w:rPr>
                <w:rFonts w:hint="eastAsia"/>
              </w:rPr>
              <w:t>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pPr>
              <w:jc w:val="left"/>
            </w:pPr>
            <w:r>
              <w:rPr>
                <w:rFonts w:hint="eastAsia"/>
              </w:rPr>
              <w:t>成本指标</w:t>
            </w:r>
          </w:p>
        </w:tc>
        <w:tc>
          <w:tcPr>
            <w:tcW w:w="1985" w:type="dxa"/>
            <w:shd w:val="clear" w:color="auto" w:fill="auto"/>
          </w:tcPr>
          <w:p>
            <w:pPr>
              <w:jc w:val="left"/>
            </w:pPr>
            <w:r>
              <w:rPr>
                <w:rFonts w:hint="eastAsia"/>
              </w:rPr>
              <w:t>聘请专家每次培训的成本</w:t>
            </w:r>
          </w:p>
        </w:tc>
        <w:tc>
          <w:tcPr>
            <w:tcW w:w="3402" w:type="dxa"/>
            <w:shd w:val="clear" w:color="auto" w:fill="auto"/>
          </w:tcPr>
          <w:p>
            <w:pPr>
              <w:jc w:val="left"/>
            </w:pPr>
            <w:r>
              <w:rPr>
                <w:rFonts w:hint="eastAsia"/>
              </w:rPr>
              <w:t>聘请专家每次培训的成本</w:t>
            </w:r>
          </w:p>
        </w:tc>
        <w:tc>
          <w:tcPr>
            <w:tcW w:w="1843" w:type="dxa"/>
            <w:shd w:val="clear" w:color="auto" w:fill="auto"/>
          </w:tcPr>
          <w:p>
            <w:pPr>
              <w:jc w:val="left"/>
            </w:pPr>
            <w:r>
              <w:rPr>
                <w:rFonts w:hint="eastAsia"/>
              </w:rPr>
              <w:t>≤0.3万元/天</w:t>
            </w:r>
          </w:p>
        </w:tc>
        <w:tc>
          <w:tcPr>
            <w:tcW w:w="2155" w:type="dxa"/>
            <w:shd w:val="clear" w:color="auto" w:fill="auto"/>
          </w:tcPr>
          <w:p>
            <w:pPr>
              <w:jc w:val="left"/>
            </w:pPr>
            <w:r>
              <w:rPr>
                <w:rFonts w:hint="eastAsia"/>
              </w:rPr>
              <w:t>培训合同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tcPr>
          <w:p>
            <w:pPr>
              <w:jc w:val="left"/>
            </w:pPr>
            <w:r>
              <w:rPr>
                <w:rFonts w:hint="eastAsia"/>
              </w:rPr>
              <w:t>社会效益指标</w:t>
            </w:r>
          </w:p>
        </w:tc>
        <w:tc>
          <w:tcPr>
            <w:tcW w:w="1985" w:type="dxa"/>
            <w:shd w:val="clear" w:color="auto" w:fill="auto"/>
          </w:tcPr>
          <w:p>
            <w:pPr>
              <w:jc w:val="left"/>
            </w:pPr>
            <w:r>
              <w:rPr>
                <w:rFonts w:hint="eastAsia"/>
              </w:rPr>
              <w:t>安全生产意识提高情况</w:t>
            </w:r>
          </w:p>
        </w:tc>
        <w:tc>
          <w:tcPr>
            <w:tcW w:w="3402" w:type="dxa"/>
            <w:shd w:val="clear" w:color="auto" w:fill="auto"/>
          </w:tcPr>
          <w:p>
            <w:pPr>
              <w:jc w:val="left"/>
            </w:pPr>
            <w:r>
              <w:rPr>
                <w:rFonts w:hint="eastAsia"/>
              </w:rPr>
              <w:t>通过培训监督检查等方式，对辖区内企业安全生产意识提高改善情况</w:t>
            </w:r>
          </w:p>
        </w:tc>
        <w:tc>
          <w:tcPr>
            <w:tcW w:w="1843" w:type="dxa"/>
            <w:shd w:val="clear" w:color="auto" w:fill="auto"/>
          </w:tcPr>
          <w:p>
            <w:pPr>
              <w:jc w:val="left"/>
            </w:pPr>
            <w:r>
              <w:rPr>
                <w:rFonts w:hint="eastAsia"/>
              </w:rPr>
              <w:t>有所改善</w:t>
            </w:r>
          </w:p>
        </w:tc>
        <w:tc>
          <w:tcPr>
            <w:tcW w:w="2155" w:type="dxa"/>
            <w:shd w:val="clear" w:color="auto" w:fill="auto"/>
          </w:tcPr>
          <w:p>
            <w:pPr>
              <w:jc w:val="left"/>
            </w:pPr>
            <w:r>
              <w:rPr>
                <w:rFonts w:hint="eastAsia"/>
              </w:rPr>
              <w:t>《中共三河市委机构编制委员会办公室关于规范三河市住房和城乡建设局内设机构有关事宜的通知》三编办字【2020】51号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tcPr>
          <w:p>
            <w:pPr>
              <w:jc w:val="left"/>
            </w:pPr>
            <w:r>
              <w:rPr>
                <w:rFonts w:hint="eastAsia"/>
              </w:rPr>
              <w:t>服务对象满意度指标</w:t>
            </w:r>
          </w:p>
        </w:tc>
        <w:tc>
          <w:tcPr>
            <w:tcW w:w="1985" w:type="dxa"/>
            <w:shd w:val="clear" w:color="auto" w:fill="auto"/>
          </w:tcPr>
          <w:p>
            <w:pPr>
              <w:jc w:val="left"/>
            </w:pPr>
            <w:r>
              <w:rPr>
                <w:rFonts w:hint="eastAsia"/>
              </w:rPr>
              <w:t>服务对象满意度（%）</w:t>
            </w:r>
          </w:p>
        </w:tc>
        <w:tc>
          <w:tcPr>
            <w:tcW w:w="3402" w:type="dxa"/>
            <w:shd w:val="clear" w:color="auto" w:fill="auto"/>
          </w:tcPr>
          <w:p>
            <w:pPr>
              <w:jc w:val="left"/>
            </w:pPr>
            <w:r>
              <w:rPr>
                <w:rFonts w:hint="eastAsia"/>
              </w:rPr>
              <w:t>对使用人员调查中满意人数占调查总人数的比例</w:t>
            </w:r>
          </w:p>
        </w:tc>
        <w:tc>
          <w:tcPr>
            <w:tcW w:w="1843" w:type="dxa"/>
            <w:shd w:val="clear" w:color="auto" w:fill="auto"/>
          </w:tcPr>
          <w:p>
            <w:pPr>
              <w:jc w:val="left"/>
            </w:pPr>
            <w:r>
              <w:rPr>
                <w:rFonts w:hint="eastAsia"/>
              </w:rPr>
              <w:t>≥90%</w:t>
            </w:r>
          </w:p>
        </w:tc>
        <w:tc>
          <w:tcPr>
            <w:tcW w:w="2155" w:type="dxa"/>
            <w:shd w:val="clear" w:color="auto" w:fill="auto"/>
          </w:tcPr>
          <w:p>
            <w:pPr>
              <w:jc w:val="left"/>
            </w:pPr>
            <w:r>
              <w:rPr>
                <w:rFonts w:hint="eastAsia"/>
              </w:rPr>
              <w:t>调查表</w:t>
            </w:r>
          </w:p>
        </w:tc>
      </w:tr>
    </w:tbl>
    <w:p>
      <w:pPr>
        <w:ind w:firstLine="560"/>
        <w:outlineLvl w:val="3"/>
      </w:pPr>
      <w:bookmarkStart w:id="4" w:name="_Toc_4_4_0000000007"/>
      <w:r>
        <w:rPr>
          <w:rFonts w:ascii="方正仿宋_GBK" w:hAnsi="方正仿宋_GBK" w:eastAsia="方正仿宋_GBK" w:cs="方正仿宋_GBK"/>
          <w:color w:val="000000"/>
          <w:sz w:val="28"/>
        </w:rPr>
        <w:t>4.保障性住房工作经费绩效目标表</w:t>
      </w:r>
      <w:bookmarkEnd w:id="4"/>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通过项目的开展完成住房保障工作，实现进一步健全住房保障体系、稳妥推进住房制度改革、按照国家要求达到城镇住房保障工作目标。</w:t>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tcPr>
          <w:p>
            <w:r>
              <w:rPr>
                <w:rFonts w:hint="eastAsia"/>
              </w:rPr>
              <w:t>数量指标</w:t>
            </w:r>
          </w:p>
        </w:tc>
        <w:tc>
          <w:tcPr>
            <w:tcW w:w="1985" w:type="dxa"/>
            <w:shd w:val="clear" w:color="auto" w:fill="auto"/>
          </w:tcPr>
          <w:p>
            <w:r>
              <w:rPr>
                <w:rFonts w:hint="eastAsia"/>
              </w:rPr>
              <w:t>保障房分配场次</w:t>
            </w:r>
          </w:p>
        </w:tc>
        <w:tc>
          <w:tcPr>
            <w:tcW w:w="3402" w:type="dxa"/>
            <w:shd w:val="clear" w:color="auto" w:fill="auto"/>
          </w:tcPr>
          <w:p>
            <w:r>
              <w:rPr>
                <w:rFonts w:hint="eastAsia"/>
              </w:rPr>
              <w:t>保障房分配场次</w:t>
            </w:r>
          </w:p>
        </w:tc>
        <w:tc>
          <w:tcPr>
            <w:tcW w:w="1843" w:type="dxa"/>
            <w:shd w:val="clear" w:color="auto" w:fill="auto"/>
          </w:tcPr>
          <w:p>
            <w:r>
              <w:rPr>
                <w:rFonts w:hint="eastAsia"/>
              </w:rPr>
              <w:t>≥2场</w:t>
            </w:r>
          </w:p>
        </w:tc>
        <w:tc>
          <w:tcPr>
            <w:tcW w:w="2155" w:type="dxa"/>
            <w:shd w:val="clear" w:color="auto" w:fill="auto"/>
          </w:tcPr>
          <w:p>
            <w:r>
              <w:rPr>
                <w:rFonts w:hint="eastAsia"/>
              </w:rPr>
              <w:t>《公共租赁住房管理办法》（住房和城乡建设部令〔2012〕第11号）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r>
              <w:rPr>
                <w:rFonts w:hint="eastAsia"/>
              </w:rPr>
              <w:t>质量指标</w:t>
            </w:r>
          </w:p>
        </w:tc>
        <w:tc>
          <w:tcPr>
            <w:tcW w:w="1985" w:type="dxa"/>
            <w:shd w:val="clear" w:color="auto" w:fill="auto"/>
          </w:tcPr>
          <w:p>
            <w:r>
              <w:rPr>
                <w:rFonts w:hint="eastAsia"/>
              </w:rPr>
              <w:t>保障性住房竣工率</w:t>
            </w:r>
          </w:p>
        </w:tc>
        <w:tc>
          <w:tcPr>
            <w:tcW w:w="3402" w:type="dxa"/>
            <w:shd w:val="clear" w:color="auto" w:fill="auto"/>
          </w:tcPr>
          <w:p>
            <w:r>
              <w:rPr>
                <w:rFonts w:hint="eastAsia"/>
              </w:rPr>
              <w:t>保障性住房竣工率</w:t>
            </w:r>
          </w:p>
        </w:tc>
        <w:tc>
          <w:tcPr>
            <w:tcW w:w="1843" w:type="dxa"/>
            <w:shd w:val="clear" w:color="auto" w:fill="auto"/>
          </w:tcPr>
          <w:p>
            <w:r>
              <w:rPr>
                <w:rFonts w:hint="eastAsia"/>
              </w:rPr>
              <w:t>100%</w:t>
            </w:r>
          </w:p>
        </w:tc>
        <w:tc>
          <w:tcPr>
            <w:tcW w:w="2155" w:type="dxa"/>
            <w:shd w:val="clear" w:color="auto" w:fill="auto"/>
          </w:tcPr>
          <w:p>
            <w:r>
              <w:rPr>
                <w:rFonts w:hint="eastAsia"/>
              </w:rPr>
              <w:t>《公共租赁住房管理办法》（住房和城乡建设部令〔2012〕第11号）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r>
              <w:rPr>
                <w:rFonts w:hint="eastAsia"/>
              </w:rPr>
              <w:t>时效指标</w:t>
            </w:r>
          </w:p>
        </w:tc>
        <w:tc>
          <w:tcPr>
            <w:tcW w:w="1985" w:type="dxa"/>
            <w:shd w:val="clear" w:color="auto" w:fill="auto"/>
          </w:tcPr>
          <w:p>
            <w:r>
              <w:rPr>
                <w:rFonts w:hint="eastAsia"/>
              </w:rPr>
              <w:t>新增公共住房分配数完成率</w:t>
            </w:r>
          </w:p>
        </w:tc>
        <w:tc>
          <w:tcPr>
            <w:tcW w:w="3402" w:type="dxa"/>
            <w:shd w:val="clear" w:color="auto" w:fill="auto"/>
          </w:tcPr>
          <w:p>
            <w:r>
              <w:rPr>
                <w:rFonts w:hint="eastAsia"/>
              </w:rPr>
              <w:t>当年实物公共住房分配数量占年度任务总数的比率。</w:t>
            </w:r>
          </w:p>
        </w:tc>
        <w:tc>
          <w:tcPr>
            <w:tcW w:w="1843" w:type="dxa"/>
            <w:shd w:val="clear" w:color="auto" w:fill="auto"/>
          </w:tcPr>
          <w:p>
            <w:r>
              <w:rPr>
                <w:rFonts w:hint="eastAsia"/>
              </w:rPr>
              <w:t>100%</w:t>
            </w:r>
          </w:p>
        </w:tc>
        <w:tc>
          <w:tcPr>
            <w:tcW w:w="2155" w:type="dxa"/>
            <w:shd w:val="clear" w:color="auto" w:fill="auto"/>
          </w:tcPr>
          <w:p>
            <w:r>
              <w:rPr>
                <w:rFonts w:hint="eastAsia"/>
              </w:rPr>
              <w:t>《公共租赁住房管理办法》（住房和城乡建设部令〔2012〕第11号）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r>
              <w:rPr>
                <w:rFonts w:hint="eastAsia"/>
              </w:rPr>
              <w:t>成本指标</w:t>
            </w:r>
          </w:p>
        </w:tc>
        <w:tc>
          <w:tcPr>
            <w:tcW w:w="1985" w:type="dxa"/>
            <w:shd w:val="clear" w:color="auto" w:fill="auto"/>
          </w:tcPr>
          <w:p>
            <w:r>
              <w:rPr>
                <w:rFonts w:hint="eastAsia"/>
              </w:rPr>
              <w:t>保障房分配每场成本</w:t>
            </w:r>
          </w:p>
        </w:tc>
        <w:tc>
          <w:tcPr>
            <w:tcW w:w="3402" w:type="dxa"/>
            <w:shd w:val="clear" w:color="auto" w:fill="auto"/>
          </w:tcPr>
          <w:p>
            <w:r>
              <w:rPr>
                <w:rFonts w:hint="eastAsia"/>
              </w:rPr>
              <w:t>保障房分配每场成本</w:t>
            </w:r>
          </w:p>
        </w:tc>
        <w:tc>
          <w:tcPr>
            <w:tcW w:w="1843" w:type="dxa"/>
            <w:shd w:val="clear" w:color="auto" w:fill="auto"/>
          </w:tcPr>
          <w:p>
            <w:r>
              <w:rPr>
                <w:rFonts w:hint="eastAsia"/>
              </w:rPr>
              <w:t>0.2万元/场</w:t>
            </w:r>
          </w:p>
        </w:tc>
        <w:tc>
          <w:tcPr>
            <w:tcW w:w="2155" w:type="dxa"/>
            <w:shd w:val="clear" w:color="auto" w:fill="auto"/>
          </w:tcPr>
          <w:p>
            <w:r>
              <w:rPr>
                <w:rFonts w:hint="eastAsia"/>
              </w:rPr>
              <w:t>《公共租赁住房管理办法》（住房和城乡建设部令〔2012〕第11号）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tcPr>
          <w:p>
            <w:r>
              <w:rPr>
                <w:rFonts w:hint="eastAsia"/>
              </w:rPr>
              <w:t>社会效益指标</w:t>
            </w:r>
          </w:p>
        </w:tc>
        <w:tc>
          <w:tcPr>
            <w:tcW w:w="1985" w:type="dxa"/>
            <w:shd w:val="clear" w:color="auto" w:fill="auto"/>
          </w:tcPr>
          <w:p>
            <w:r>
              <w:rPr>
                <w:rFonts w:hint="eastAsia"/>
              </w:rPr>
              <w:t>对低收入家庭的住房保障需求</w:t>
            </w:r>
          </w:p>
        </w:tc>
        <w:tc>
          <w:tcPr>
            <w:tcW w:w="3402" w:type="dxa"/>
            <w:shd w:val="clear" w:color="auto" w:fill="auto"/>
          </w:tcPr>
          <w:p>
            <w:r>
              <w:rPr>
                <w:rFonts w:hint="eastAsia"/>
              </w:rPr>
              <w:t>对符合条件的申请住房保障的我市城镇低收入住房困难家庭实现应保尽保</w:t>
            </w:r>
          </w:p>
        </w:tc>
        <w:tc>
          <w:tcPr>
            <w:tcW w:w="1843" w:type="dxa"/>
            <w:shd w:val="clear" w:color="auto" w:fill="auto"/>
          </w:tcPr>
          <w:p>
            <w:r>
              <w:rPr>
                <w:rFonts w:hint="eastAsia"/>
              </w:rPr>
              <w:t>100%</w:t>
            </w:r>
          </w:p>
        </w:tc>
        <w:tc>
          <w:tcPr>
            <w:tcW w:w="2155" w:type="dxa"/>
            <w:shd w:val="clear" w:color="auto" w:fill="auto"/>
          </w:tcPr>
          <w:p>
            <w:r>
              <w:rPr>
                <w:rFonts w:hint="eastAsia"/>
              </w:rPr>
              <w:t>《公共租赁住房管理办法》（住房和城乡建设部令〔2012〕第11号）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tcPr>
          <w:p>
            <w:r>
              <w:rPr>
                <w:rFonts w:hint="eastAsia"/>
              </w:rPr>
              <w:t>服务对象满意度指标</w:t>
            </w:r>
          </w:p>
        </w:tc>
        <w:tc>
          <w:tcPr>
            <w:tcW w:w="1985" w:type="dxa"/>
            <w:shd w:val="clear" w:color="auto" w:fill="auto"/>
          </w:tcPr>
          <w:p>
            <w:r>
              <w:rPr>
                <w:rFonts w:hint="eastAsia"/>
              </w:rPr>
              <w:t>服务对象满意度（%）</w:t>
            </w:r>
          </w:p>
        </w:tc>
        <w:tc>
          <w:tcPr>
            <w:tcW w:w="3402" w:type="dxa"/>
            <w:shd w:val="clear" w:color="auto" w:fill="auto"/>
          </w:tcPr>
          <w:p>
            <w:r>
              <w:rPr>
                <w:rFonts w:hint="eastAsia"/>
              </w:rPr>
              <w:t>对使用人员调查中满意人数占调查总人数的比例</w:t>
            </w:r>
          </w:p>
        </w:tc>
        <w:tc>
          <w:tcPr>
            <w:tcW w:w="1843" w:type="dxa"/>
            <w:shd w:val="clear" w:color="auto" w:fill="auto"/>
          </w:tcPr>
          <w:p>
            <w:r>
              <w:rPr>
                <w:rFonts w:hint="eastAsia"/>
              </w:rPr>
              <w:t>≥95%</w:t>
            </w:r>
          </w:p>
        </w:tc>
        <w:tc>
          <w:tcPr>
            <w:tcW w:w="2155" w:type="dxa"/>
            <w:shd w:val="clear" w:color="auto" w:fill="auto"/>
          </w:tcPr>
          <w:p>
            <w:r>
              <w:rPr>
                <w:rFonts w:hint="eastAsia"/>
              </w:rPr>
              <w:t>满意度调查表</w:t>
            </w:r>
          </w:p>
        </w:tc>
      </w:tr>
    </w:tbl>
    <w:p>
      <w:pPr>
        <w:ind w:firstLine="560"/>
        <w:outlineLvl w:val="3"/>
      </w:pPr>
      <w:bookmarkStart w:id="5" w:name="_Toc_4_4_0000000008"/>
      <w:r>
        <w:rPr>
          <w:rFonts w:ascii="方正仿宋_GBK" w:hAnsi="方正仿宋_GBK" w:eastAsia="方正仿宋_GBK" w:cs="方正仿宋_GBK"/>
          <w:color w:val="000000"/>
          <w:sz w:val="28"/>
        </w:rPr>
        <w:t>5.创城宣传经费（园林）绩效目标表</w:t>
      </w:r>
      <w:bookmarkEnd w:id="5"/>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通过宣传，创建文明城市。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tcPr>
          <w:p>
            <w:r>
              <w:rPr>
                <w:rFonts w:hint="eastAsia"/>
              </w:rPr>
              <w:t>数量指标</w:t>
            </w:r>
          </w:p>
        </w:tc>
        <w:tc>
          <w:tcPr>
            <w:tcW w:w="1985" w:type="dxa"/>
            <w:shd w:val="clear" w:color="auto" w:fill="auto"/>
          </w:tcPr>
          <w:p>
            <w:r>
              <w:rPr>
                <w:rFonts w:hint="eastAsia"/>
              </w:rPr>
              <w:t>创城宣传次数</w:t>
            </w:r>
          </w:p>
        </w:tc>
        <w:tc>
          <w:tcPr>
            <w:tcW w:w="3402" w:type="dxa"/>
            <w:shd w:val="clear" w:color="auto" w:fill="auto"/>
          </w:tcPr>
          <w:p>
            <w:r>
              <w:rPr>
                <w:rFonts w:hint="eastAsia"/>
              </w:rPr>
              <w:t>创城宣传次数</w:t>
            </w:r>
          </w:p>
        </w:tc>
        <w:tc>
          <w:tcPr>
            <w:tcW w:w="1843" w:type="dxa"/>
            <w:shd w:val="clear" w:color="auto" w:fill="auto"/>
          </w:tcPr>
          <w:p>
            <w:r>
              <w:rPr>
                <w:rFonts w:hint="eastAsia"/>
              </w:rPr>
              <w:t>≥1次</w:t>
            </w:r>
          </w:p>
        </w:tc>
        <w:tc>
          <w:tcPr>
            <w:tcW w:w="2155" w:type="dxa"/>
            <w:shd w:val="clear" w:color="auto" w:fill="auto"/>
          </w:tcPr>
          <w:p>
            <w:r>
              <w:rPr>
                <w:rFonts w:hint="eastAsia"/>
              </w:rPr>
              <w:t>《国家级文明城市标准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r>
              <w:rPr>
                <w:rFonts w:hint="eastAsia"/>
              </w:rPr>
              <w:t>质量指标</w:t>
            </w:r>
          </w:p>
        </w:tc>
        <w:tc>
          <w:tcPr>
            <w:tcW w:w="1985" w:type="dxa"/>
            <w:shd w:val="clear" w:color="auto" w:fill="auto"/>
          </w:tcPr>
          <w:p>
            <w:r>
              <w:rPr>
                <w:rFonts w:hint="eastAsia"/>
              </w:rPr>
              <w:t>创城宣传牌的完好率</w:t>
            </w:r>
          </w:p>
        </w:tc>
        <w:tc>
          <w:tcPr>
            <w:tcW w:w="3402" w:type="dxa"/>
            <w:shd w:val="clear" w:color="auto" w:fill="auto"/>
          </w:tcPr>
          <w:p>
            <w:r>
              <w:rPr>
                <w:rFonts w:hint="eastAsia"/>
              </w:rPr>
              <w:t>外观完好且能够正常使用的数量占总数量的比率</w:t>
            </w:r>
          </w:p>
        </w:tc>
        <w:tc>
          <w:tcPr>
            <w:tcW w:w="1843" w:type="dxa"/>
            <w:shd w:val="clear" w:color="auto" w:fill="auto"/>
          </w:tcPr>
          <w:p>
            <w:r>
              <w:rPr>
                <w:rFonts w:hint="eastAsia"/>
              </w:rPr>
              <w:t>100%</w:t>
            </w:r>
          </w:p>
        </w:tc>
        <w:tc>
          <w:tcPr>
            <w:tcW w:w="2155" w:type="dxa"/>
            <w:shd w:val="clear" w:color="auto" w:fill="auto"/>
          </w:tcPr>
          <w:p>
            <w:r>
              <w:rPr>
                <w:rFonts w:hint="eastAsia"/>
              </w:rPr>
              <w:t>宣传标牌登记台账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r>
              <w:rPr>
                <w:rFonts w:hint="eastAsia"/>
              </w:rPr>
              <w:t>时效指标</w:t>
            </w:r>
          </w:p>
        </w:tc>
        <w:tc>
          <w:tcPr>
            <w:tcW w:w="1985" w:type="dxa"/>
            <w:shd w:val="clear" w:color="auto" w:fill="auto"/>
          </w:tcPr>
          <w:p>
            <w:r>
              <w:rPr>
                <w:rFonts w:hint="eastAsia"/>
              </w:rPr>
              <w:t>创城宣传牌维修的及时率</w:t>
            </w:r>
          </w:p>
        </w:tc>
        <w:tc>
          <w:tcPr>
            <w:tcW w:w="3402" w:type="dxa"/>
            <w:shd w:val="clear" w:color="auto" w:fill="auto"/>
          </w:tcPr>
          <w:p>
            <w:r>
              <w:rPr>
                <w:rFonts w:hint="eastAsia"/>
              </w:rPr>
              <w:t>保证外观良好且能够正常使用的维修及时的比率</w:t>
            </w:r>
          </w:p>
        </w:tc>
        <w:tc>
          <w:tcPr>
            <w:tcW w:w="1843" w:type="dxa"/>
            <w:shd w:val="clear" w:color="auto" w:fill="auto"/>
          </w:tcPr>
          <w:p>
            <w:r>
              <w:rPr>
                <w:rFonts w:hint="eastAsia"/>
              </w:rPr>
              <w:t>100%</w:t>
            </w:r>
          </w:p>
        </w:tc>
        <w:tc>
          <w:tcPr>
            <w:tcW w:w="2155" w:type="dxa"/>
            <w:shd w:val="clear" w:color="auto" w:fill="auto"/>
          </w:tcPr>
          <w:p>
            <w:r>
              <w:rPr>
                <w:rFonts w:hint="eastAsia"/>
              </w:rPr>
              <w:t>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tcPr>
          <w:p>
            <w:r>
              <w:rPr>
                <w:rFonts w:hint="eastAsia"/>
              </w:rPr>
              <w:t>成本指标</w:t>
            </w:r>
          </w:p>
        </w:tc>
        <w:tc>
          <w:tcPr>
            <w:tcW w:w="1985" w:type="dxa"/>
            <w:shd w:val="clear" w:color="auto" w:fill="auto"/>
          </w:tcPr>
          <w:p>
            <w:r>
              <w:rPr>
                <w:rFonts w:hint="eastAsia"/>
              </w:rPr>
              <w:t>宣传每次成本</w:t>
            </w:r>
          </w:p>
        </w:tc>
        <w:tc>
          <w:tcPr>
            <w:tcW w:w="3402" w:type="dxa"/>
            <w:shd w:val="clear" w:color="auto" w:fill="auto"/>
          </w:tcPr>
          <w:p>
            <w:r>
              <w:rPr>
                <w:rFonts w:hint="eastAsia"/>
              </w:rPr>
              <w:t>宣传每次成本</w:t>
            </w:r>
          </w:p>
        </w:tc>
        <w:tc>
          <w:tcPr>
            <w:tcW w:w="1843" w:type="dxa"/>
            <w:shd w:val="clear" w:color="auto" w:fill="auto"/>
          </w:tcPr>
          <w:p>
            <w:r>
              <w:rPr>
                <w:rFonts w:hint="eastAsia"/>
              </w:rPr>
              <w:t>≤5万元</w:t>
            </w:r>
          </w:p>
        </w:tc>
        <w:tc>
          <w:tcPr>
            <w:tcW w:w="2155" w:type="dxa"/>
            <w:shd w:val="clear" w:color="auto" w:fill="auto"/>
          </w:tcPr>
          <w:p>
            <w:r>
              <w:rPr>
                <w:rFonts w:hint="eastAsia"/>
              </w:rPr>
              <w:t>宣传合同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tcPr>
          <w:p>
            <w:r>
              <w:rPr>
                <w:rFonts w:hint="eastAsia"/>
              </w:rPr>
              <w:t>社会效益指标</w:t>
            </w:r>
          </w:p>
        </w:tc>
        <w:tc>
          <w:tcPr>
            <w:tcW w:w="1985" w:type="dxa"/>
            <w:shd w:val="clear" w:color="auto" w:fill="auto"/>
          </w:tcPr>
          <w:p>
            <w:r>
              <w:rPr>
                <w:rFonts w:hint="eastAsia"/>
              </w:rPr>
              <w:t>美化城市环境</w:t>
            </w:r>
          </w:p>
        </w:tc>
        <w:tc>
          <w:tcPr>
            <w:tcW w:w="3402" w:type="dxa"/>
            <w:shd w:val="clear" w:color="auto" w:fill="auto"/>
          </w:tcPr>
          <w:p>
            <w:r>
              <w:rPr>
                <w:rFonts w:hint="eastAsia"/>
              </w:rPr>
              <w:t>通过发放宣传品、宣传册、制作安装广告牌，提升市民对城市的认可度</w:t>
            </w:r>
          </w:p>
        </w:tc>
        <w:tc>
          <w:tcPr>
            <w:tcW w:w="1843" w:type="dxa"/>
            <w:shd w:val="clear" w:color="auto" w:fill="auto"/>
          </w:tcPr>
          <w:p>
            <w:r>
              <w:rPr>
                <w:rFonts w:hint="eastAsia"/>
              </w:rPr>
              <w:t>≥100块</w:t>
            </w:r>
          </w:p>
        </w:tc>
        <w:tc>
          <w:tcPr>
            <w:tcW w:w="2155" w:type="dxa"/>
            <w:shd w:val="clear" w:color="auto" w:fill="auto"/>
          </w:tcPr>
          <w:p>
            <w:r>
              <w:rPr>
                <w:rFonts w:hint="eastAsia"/>
              </w:rPr>
              <w:t>《国家级文明城市标准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tcPr>
          <w:p>
            <w:r>
              <w:rPr>
                <w:rFonts w:hint="eastAsia"/>
              </w:rPr>
              <w:t>服务对象满意度指标</w:t>
            </w:r>
          </w:p>
        </w:tc>
        <w:tc>
          <w:tcPr>
            <w:tcW w:w="1985" w:type="dxa"/>
            <w:shd w:val="clear" w:color="auto" w:fill="auto"/>
          </w:tcPr>
          <w:p>
            <w:r>
              <w:rPr>
                <w:rFonts w:hint="eastAsia"/>
              </w:rPr>
              <w:t>市民对公益广告宣传牌的满意率</w:t>
            </w:r>
          </w:p>
        </w:tc>
        <w:tc>
          <w:tcPr>
            <w:tcW w:w="3402" w:type="dxa"/>
            <w:shd w:val="clear" w:color="auto" w:fill="auto"/>
          </w:tcPr>
          <w:p>
            <w:r>
              <w:rPr>
                <w:rFonts w:hint="eastAsia"/>
              </w:rPr>
              <w:t>满意与基本满意的总人数与调查总人数的比例</w:t>
            </w:r>
          </w:p>
        </w:tc>
        <w:tc>
          <w:tcPr>
            <w:tcW w:w="1843" w:type="dxa"/>
            <w:shd w:val="clear" w:color="auto" w:fill="auto"/>
          </w:tcPr>
          <w:p>
            <w:r>
              <w:rPr>
                <w:rFonts w:hint="eastAsia"/>
              </w:rPr>
              <w:t>&gt;90%</w:t>
            </w:r>
          </w:p>
        </w:tc>
        <w:tc>
          <w:tcPr>
            <w:tcW w:w="2155" w:type="dxa"/>
            <w:shd w:val="clear" w:color="auto" w:fill="auto"/>
          </w:tcPr>
          <w:p>
            <w:r>
              <w:rPr>
                <w:rFonts w:hint="eastAsia"/>
              </w:rPr>
              <w:t>满意度调查表</w:t>
            </w:r>
          </w:p>
        </w:tc>
      </w:tr>
    </w:tbl>
    <w:p>
      <w:pPr>
        <w:jc w:val="center"/>
      </w:pPr>
    </w:p>
    <w:p>
      <w:pPr>
        <w:ind w:firstLine="560"/>
        <w:outlineLvl w:val="3"/>
      </w:pPr>
      <w:bookmarkStart w:id="6" w:name="_Toc_4_4_0000000009"/>
      <w:r>
        <w:rPr>
          <w:rFonts w:ascii="方正仿宋_GBK" w:hAnsi="方正仿宋_GBK" w:eastAsia="方正仿宋_GBK" w:cs="方正仿宋_GBK"/>
          <w:color w:val="000000"/>
          <w:sz w:val="28"/>
        </w:rPr>
        <w:t>6.促进建筑业持续健康发展奖励（预留）绩效目标表</w:t>
      </w:r>
      <w:bookmarkEnd w:id="6"/>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2"/>
        <w:gridCol w:w="1559"/>
        <w:gridCol w:w="1843"/>
        <w:gridCol w:w="3118"/>
        <w:gridCol w:w="1985"/>
        <w:gridCol w:w="39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6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450" w:type="dxa"/>
            <w:gridSpan w:val="5"/>
            <w:shd w:val="clear" w:color="auto" w:fill="auto"/>
            <w:vAlign w:val="center"/>
          </w:tcPr>
          <w:p>
            <w:pPr>
              <w:spacing w:line="300" w:lineRule="exact"/>
              <w:rPr>
                <w:rFonts w:ascii="Times New Roman" w:hAnsi="Times New Roman" w:eastAsia="仿宋_GB2312" w:cs="Times New Roman"/>
                <w:b/>
              </w:rPr>
            </w:pPr>
            <w:r>
              <w:t>根据《国务院办公厅关于促进建筑业持续健康发展意见》国办发【2017】19号，《河北省人民政府办公厅关于促进建筑业持续健康发展的实施意见》冀政办字【2017】43号，对相应企业进行奖励。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6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5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9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2"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59" w:type="dxa"/>
            <w:shd w:val="clear" w:color="auto" w:fill="auto"/>
          </w:tcPr>
          <w:p>
            <w:r>
              <w:rPr>
                <w:rFonts w:hint="eastAsia"/>
              </w:rPr>
              <w:t>数量指标</w:t>
            </w:r>
          </w:p>
        </w:tc>
        <w:tc>
          <w:tcPr>
            <w:tcW w:w="1843" w:type="dxa"/>
            <w:shd w:val="clear" w:color="auto" w:fill="auto"/>
          </w:tcPr>
          <w:p>
            <w:r>
              <w:rPr>
                <w:rFonts w:hint="eastAsia"/>
              </w:rPr>
              <w:t>符合奖励企业数量</w:t>
            </w:r>
          </w:p>
        </w:tc>
        <w:tc>
          <w:tcPr>
            <w:tcW w:w="3118" w:type="dxa"/>
            <w:shd w:val="clear" w:color="auto" w:fill="auto"/>
          </w:tcPr>
          <w:p>
            <w:r>
              <w:rPr>
                <w:rFonts w:hint="eastAsia"/>
              </w:rPr>
              <w:t>符合奖励企业数量</w:t>
            </w:r>
          </w:p>
        </w:tc>
        <w:tc>
          <w:tcPr>
            <w:tcW w:w="1985" w:type="dxa"/>
            <w:shd w:val="clear" w:color="auto" w:fill="auto"/>
          </w:tcPr>
          <w:p>
            <w:r>
              <w:rPr>
                <w:rFonts w:hint="eastAsia"/>
              </w:rPr>
              <w:t>≥1家</w:t>
            </w:r>
          </w:p>
        </w:tc>
        <w:tc>
          <w:tcPr>
            <w:tcW w:w="3945" w:type="dxa"/>
            <w:shd w:val="clear" w:color="auto" w:fill="auto"/>
          </w:tcPr>
          <w:p>
            <w:r>
              <w:rPr>
                <w:rFonts w:hint="eastAsia"/>
              </w:rPr>
              <w:t>《国务院办公厅关于促进建筑业持续健康发展意见》国办发【2017】19号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2" w:type="dxa"/>
            <w:vMerge w:val="continue"/>
            <w:shd w:val="clear" w:color="auto" w:fill="auto"/>
            <w:vAlign w:val="center"/>
          </w:tcPr>
          <w:p/>
        </w:tc>
        <w:tc>
          <w:tcPr>
            <w:tcW w:w="1559" w:type="dxa"/>
            <w:shd w:val="clear" w:color="auto" w:fill="auto"/>
          </w:tcPr>
          <w:p>
            <w:r>
              <w:rPr>
                <w:rFonts w:hint="eastAsia"/>
              </w:rPr>
              <w:t>质量指标</w:t>
            </w:r>
          </w:p>
        </w:tc>
        <w:tc>
          <w:tcPr>
            <w:tcW w:w="1843" w:type="dxa"/>
            <w:shd w:val="clear" w:color="auto" w:fill="auto"/>
          </w:tcPr>
          <w:p>
            <w:r>
              <w:rPr>
                <w:rFonts w:hint="eastAsia"/>
              </w:rPr>
              <w:t>已达标企业确认率</w:t>
            </w:r>
          </w:p>
        </w:tc>
        <w:tc>
          <w:tcPr>
            <w:tcW w:w="3118" w:type="dxa"/>
            <w:shd w:val="clear" w:color="auto" w:fill="auto"/>
          </w:tcPr>
          <w:p>
            <w:r>
              <w:rPr>
                <w:rFonts w:hint="eastAsia"/>
              </w:rPr>
              <w:t>已达标企业确认率</w:t>
            </w:r>
          </w:p>
        </w:tc>
        <w:tc>
          <w:tcPr>
            <w:tcW w:w="1985" w:type="dxa"/>
            <w:shd w:val="clear" w:color="auto" w:fill="auto"/>
          </w:tcPr>
          <w:p>
            <w:r>
              <w:rPr>
                <w:rFonts w:hint="eastAsia"/>
              </w:rPr>
              <w:t>≥100%</w:t>
            </w:r>
          </w:p>
        </w:tc>
        <w:tc>
          <w:tcPr>
            <w:tcW w:w="3945" w:type="dxa"/>
            <w:shd w:val="clear" w:color="auto" w:fill="auto"/>
          </w:tcPr>
          <w:p>
            <w:r>
              <w:rPr>
                <w:rFonts w:hint="eastAsia"/>
              </w:rPr>
              <w:t>《国务院办公厅关于促进建筑业持续健康发展意见》国办发【2017】19号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2" w:type="dxa"/>
            <w:vMerge w:val="continue"/>
            <w:shd w:val="clear" w:color="auto" w:fill="auto"/>
            <w:vAlign w:val="center"/>
          </w:tcPr>
          <w:p/>
        </w:tc>
        <w:tc>
          <w:tcPr>
            <w:tcW w:w="1559" w:type="dxa"/>
            <w:shd w:val="clear" w:color="auto" w:fill="auto"/>
          </w:tcPr>
          <w:p>
            <w:r>
              <w:rPr>
                <w:rFonts w:hint="eastAsia"/>
              </w:rPr>
              <w:t>时效指标</w:t>
            </w:r>
          </w:p>
        </w:tc>
        <w:tc>
          <w:tcPr>
            <w:tcW w:w="1843" w:type="dxa"/>
            <w:shd w:val="clear" w:color="auto" w:fill="auto"/>
          </w:tcPr>
          <w:p>
            <w:r>
              <w:rPr>
                <w:rFonts w:hint="eastAsia"/>
              </w:rPr>
              <w:t>发放补贴奖励企业及时率</w:t>
            </w:r>
          </w:p>
        </w:tc>
        <w:tc>
          <w:tcPr>
            <w:tcW w:w="3118" w:type="dxa"/>
            <w:shd w:val="clear" w:color="auto" w:fill="auto"/>
          </w:tcPr>
          <w:p>
            <w:r>
              <w:rPr>
                <w:rFonts w:hint="eastAsia"/>
              </w:rPr>
              <w:t>发放补贴奖励企业及时率</w:t>
            </w:r>
          </w:p>
        </w:tc>
        <w:tc>
          <w:tcPr>
            <w:tcW w:w="1985" w:type="dxa"/>
            <w:shd w:val="clear" w:color="auto" w:fill="auto"/>
          </w:tcPr>
          <w:p>
            <w:r>
              <w:rPr>
                <w:rFonts w:hint="eastAsia"/>
              </w:rPr>
              <w:t>100%</w:t>
            </w:r>
          </w:p>
        </w:tc>
        <w:tc>
          <w:tcPr>
            <w:tcW w:w="3945" w:type="dxa"/>
            <w:shd w:val="clear" w:color="auto" w:fill="auto"/>
          </w:tcPr>
          <w:p>
            <w:r>
              <w:rPr>
                <w:rFonts w:hint="eastAsia"/>
              </w:rPr>
              <w:t>《国务院办公厅关于促进建筑业持续健康发展意见》国办发【2017】19号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2" w:type="dxa"/>
            <w:vMerge w:val="continue"/>
            <w:shd w:val="clear" w:color="auto" w:fill="auto"/>
            <w:vAlign w:val="center"/>
          </w:tcPr>
          <w:p/>
        </w:tc>
        <w:tc>
          <w:tcPr>
            <w:tcW w:w="1559" w:type="dxa"/>
            <w:shd w:val="clear" w:color="auto" w:fill="auto"/>
          </w:tcPr>
          <w:p>
            <w:r>
              <w:rPr>
                <w:rFonts w:hint="eastAsia"/>
              </w:rPr>
              <w:t>成本指标</w:t>
            </w:r>
          </w:p>
        </w:tc>
        <w:tc>
          <w:tcPr>
            <w:tcW w:w="1843" w:type="dxa"/>
            <w:shd w:val="clear" w:color="auto" w:fill="auto"/>
          </w:tcPr>
          <w:p>
            <w:r>
              <w:rPr>
                <w:rFonts w:hint="eastAsia"/>
              </w:rPr>
              <w:t>奖励企业单位成本</w:t>
            </w:r>
          </w:p>
        </w:tc>
        <w:tc>
          <w:tcPr>
            <w:tcW w:w="3118" w:type="dxa"/>
            <w:shd w:val="clear" w:color="auto" w:fill="auto"/>
          </w:tcPr>
          <w:p>
            <w:r>
              <w:rPr>
                <w:rFonts w:hint="eastAsia"/>
              </w:rPr>
              <w:t>奖励企业单位成本</w:t>
            </w:r>
          </w:p>
        </w:tc>
        <w:tc>
          <w:tcPr>
            <w:tcW w:w="1985" w:type="dxa"/>
            <w:shd w:val="clear" w:color="auto" w:fill="auto"/>
          </w:tcPr>
          <w:p>
            <w:r>
              <w:rPr>
                <w:rFonts w:hint="eastAsia"/>
              </w:rPr>
              <w:t>≤1000万元</w:t>
            </w:r>
          </w:p>
        </w:tc>
        <w:tc>
          <w:tcPr>
            <w:tcW w:w="3945" w:type="dxa"/>
            <w:shd w:val="clear" w:color="auto" w:fill="auto"/>
          </w:tcPr>
          <w:p>
            <w:r>
              <w:rPr>
                <w:rFonts w:hint="eastAsia"/>
              </w:rPr>
              <w:t>《国务院办公厅关于促进建筑业持续健康发展意见》国办发【2017】19号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59" w:type="dxa"/>
            <w:shd w:val="clear" w:color="auto" w:fill="auto"/>
          </w:tcPr>
          <w:p>
            <w:r>
              <w:rPr>
                <w:rFonts w:hint="eastAsia"/>
              </w:rPr>
              <w:t>社会效益指标</w:t>
            </w:r>
          </w:p>
        </w:tc>
        <w:tc>
          <w:tcPr>
            <w:tcW w:w="1843" w:type="dxa"/>
            <w:shd w:val="clear" w:color="auto" w:fill="auto"/>
          </w:tcPr>
          <w:p>
            <w:r>
              <w:rPr>
                <w:rFonts w:hint="eastAsia"/>
              </w:rPr>
              <w:t>促进企业可持续发展</w:t>
            </w:r>
          </w:p>
        </w:tc>
        <w:tc>
          <w:tcPr>
            <w:tcW w:w="3118" w:type="dxa"/>
            <w:shd w:val="clear" w:color="auto" w:fill="auto"/>
          </w:tcPr>
          <w:p>
            <w:r>
              <w:rPr>
                <w:rFonts w:hint="eastAsia"/>
              </w:rPr>
              <w:t>促进企业更好的可持续发展</w:t>
            </w:r>
          </w:p>
        </w:tc>
        <w:tc>
          <w:tcPr>
            <w:tcW w:w="1985" w:type="dxa"/>
            <w:shd w:val="clear" w:color="auto" w:fill="auto"/>
          </w:tcPr>
          <w:p>
            <w:r>
              <w:rPr>
                <w:rFonts w:hint="eastAsia"/>
              </w:rPr>
              <w:t>按实际情况</w:t>
            </w:r>
          </w:p>
        </w:tc>
        <w:tc>
          <w:tcPr>
            <w:tcW w:w="3945" w:type="dxa"/>
            <w:shd w:val="clear" w:color="auto" w:fill="auto"/>
          </w:tcPr>
          <w:p>
            <w:r>
              <w:rPr>
                <w:rFonts w:hint="eastAsia"/>
              </w:rPr>
              <w:t>《国务院办公厅关于促进建筑业持续健康发展意见》国办发【2017】19号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612"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59" w:type="dxa"/>
            <w:shd w:val="clear" w:color="auto" w:fill="auto"/>
          </w:tcPr>
          <w:p>
            <w:r>
              <w:rPr>
                <w:rFonts w:hint="eastAsia"/>
              </w:rPr>
              <w:t>服务对象满意度指标</w:t>
            </w:r>
          </w:p>
        </w:tc>
        <w:tc>
          <w:tcPr>
            <w:tcW w:w="1843" w:type="dxa"/>
            <w:shd w:val="clear" w:color="auto" w:fill="auto"/>
          </w:tcPr>
          <w:p>
            <w:r>
              <w:rPr>
                <w:rFonts w:hint="eastAsia"/>
              </w:rPr>
              <w:t>企业满意度</w:t>
            </w:r>
          </w:p>
        </w:tc>
        <w:tc>
          <w:tcPr>
            <w:tcW w:w="3118" w:type="dxa"/>
            <w:shd w:val="clear" w:color="auto" w:fill="auto"/>
          </w:tcPr>
          <w:p>
            <w:r>
              <w:rPr>
                <w:rFonts w:hint="eastAsia"/>
              </w:rPr>
              <w:t>企业满意度</w:t>
            </w:r>
          </w:p>
        </w:tc>
        <w:tc>
          <w:tcPr>
            <w:tcW w:w="1985" w:type="dxa"/>
            <w:shd w:val="clear" w:color="auto" w:fill="auto"/>
          </w:tcPr>
          <w:p>
            <w:r>
              <w:rPr>
                <w:rFonts w:hint="eastAsia"/>
              </w:rPr>
              <w:t>≥90%</w:t>
            </w:r>
          </w:p>
        </w:tc>
        <w:tc>
          <w:tcPr>
            <w:tcW w:w="3945" w:type="dxa"/>
            <w:shd w:val="clear" w:color="auto" w:fill="auto"/>
          </w:tcPr>
          <w:p>
            <w:r>
              <w:rPr>
                <w:rFonts w:hint="eastAsia"/>
              </w:rPr>
              <w:t>调查表</w:t>
            </w:r>
          </w:p>
        </w:tc>
      </w:tr>
    </w:tbl>
    <w:p>
      <w:pPr>
        <w:ind w:firstLine="560"/>
        <w:outlineLvl w:val="3"/>
      </w:pPr>
      <w:bookmarkStart w:id="7" w:name="_Toc_4_4_0000000010"/>
      <w:r>
        <w:rPr>
          <w:rFonts w:ascii="方正仿宋_GBK" w:hAnsi="方正仿宋_GBK" w:eastAsia="方正仿宋_GBK" w:cs="方正仿宋_GBK"/>
          <w:color w:val="000000"/>
          <w:sz w:val="28"/>
        </w:rPr>
        <w:t>7.村镇建设管理经费绩效目标表</w:t>
      </w:r>
      <w:bookmarkEnd w:id="7"/>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71"/>
        <w:gridCol w:w="2126"/>
        <w:gridCol w:w="2835"/>
        <w:gridCol w:w="1276"/>
        <w:gridCol w:w="39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为巩固拓展脱贫攻坚成果与乡村振兴有效衔接奠定良好基础。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9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71" w:type="dxa"/>
            <w:shd w:val="clear" w:color="auto" w:fill="auto"/>
          </w:tcPr>
          <w:p>
            <w:pPr>
              <w:jc w:val="left"/>
            </w:pPr>
            <w:r>
              <w:rPr>
                <w:rFonts w:hint="eastAsia"/>
              </w:rPr>
              <w:t>数量指标</w:t>
            </w:r>
          </w:p>
        </w:tc>
        <w:tc>
          <w:tcPr>
            <w:tcW w:w="2126" w:type="dxa"/>
            <w:shd w:val="clear" w:color="auto" w:fill="auto"/>
          </w:tcPr>
          <w:p>
            <w:pPr>
              <w:jc w:val="left"/>
            </w:pPr>
            <w:r>
              <w:rPr>
                <w:rFonts w:hint="eastAsia"/>
              </w:rPr>
              <w:t>日常巡查次数</w:t>
            </w:r>
          </w:p>
        </w:tc>
        <w:tc>
          <w:tcPr>
            <w:tcW w:w="2835" w:type="dxa"/>
            <w:shd w:val="clear" w:color="auto" w:fill="auto"/>
          </w:tcPr>
          <w:p>
            <w:pPr>
              <w:jc w:val="left"/>
            </w:pPr>
            <w:r>
              <w:rPr>
                <w:rFonts w:hint="eastAsia"/>
              </w:rPr>
              <w:t>对低收入群体农房安全情况进行巡查的次数</w:t>
            </w:r>
          </w:p>
        </w:tc>
        <w:tc>
          <w:tcPr>
            <w:tcW w:w="1276" w:type="dxa"/>
            <w:shd w:val="clear" w:color="auto" w:fill="auto"/>
          </w:tcPr>
          <w:p>
            <w:pPr>
              <w:jc w:val="left"/>
            </w:pPr>
            <w:r>
              <w:rPr>
                <w:rFonts w:hint="eastAsia"/>
              </w:rPr>
              <w:t>≤24次</w:t>
            </w:r>
          </w:p>
        </w:tc>
        <w:tc>
          <w:tcPr>
            <w:tcW w:w="3945" w:type="dxa"/>
            <w:shd w:val="clear" w:color="auto" w:fill="auto"/>
          </w:tcPr>
          <w:p>
            <w:pPr>
              <w:jc w:val="left"/>
            </w:pPr>
            <w:r>
              <w:rPr>
                <w:rFonts w:hint="eastAsia"/>
              </w:rPr>
              <w:t>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71" w:type="dxa"/>
            <w:shd w:val="clear" w:color="auto" w:fill="auto"/>
          </w:tcPr>
          <w:p>
            <w:pPr>
              <w:jc w:val="left"/>
            </w:pPr>
            <w:r>
              <w:rPr>
                <w:rFonts w:hint="eastAsia"/>
              </w:rPr>
              <w:t>质量指标</w:t>
            </w:r>
          </w:p>
        </w:tc>
        <w:tc>
          <w:tcPr>
            <w:tcW w:w="2126" w:type="dxa"/>
            <w:shd w:val="clear" w:color="auto" w:fill="auto"/>
          </w:tcPr>
          <w:p>
            <w:pPr>
              <w:jc w:val="left"/>
            </w:pPr>
            <w:r>
              <w:rPr>
                <w:rFonts w:hint="eastAsia"/>
              </w:rPr>
              <w:t>被巡查的房屋居住质量安全率</w:t>
            </w:r>
          </w:p>
        </w:tc>
        <w:tc>
          <w:tcPr>
            <w:tcW w:w="2835" w:type="dxa"/>
            <w:shd w:val="clear" w:color="auto" w:fill="auto"/>
          </w:tcPr>
          <w:p>
            <w:pPr>
              <w:jc w:val="left"/>
            </w:pPr>
            <w:r>
              <w:rPr>
                <w:rFonts w:hint="eastAsia"/>
              </w:rPr>
              <w:t>巡查的房屋居住质量安全比例</w:t>
            </w:r>
          </w:p>
        </w:tc>
        <w:tc>
          <w:tcPr>
            <w:tcW w:w="1276" w:type="dxa"/>
            <w:shd w:val="clear" w:color="auto" w:fill="auto"/>
          </w:tcPr>
          <w:p>
            <w:pPr>
              <w:jc w:val="left"/>
            </w:pPr>
            <w:r>
              <w:rPr>
                <w:rFonts w:hint="eastAsia"/>
              </w:rPr>
              <w:t>100%</w:t>
            </w:r>
          </w:p>
        </w:tc>
        <w:tc>
          <w:tcPr>
            <w:tcW w:w="3945" w:type="dxa"/>
            <w:shd w:val="clear" w:color="auto" w:fill="auto"/>
          </w:tcPr>
          <w:p>
            <w:pPr>
              <w:jc w:val="left"/>
            </w:pPr>
            <w:r>
              <w:rPr>
                <w:rFonts w:hint="eastAsia"/>
              </w:rPr>
              <w:t>《三河市农村危房改造领导小组办公室关于农村住房安全有保障监测预警和排查处置长效机制管理办法》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71" w:type="dxa"/>
            <w:shd w:val="clear" w:color="auto" w:fill="auto"/>
          </w:tcPr>
          <w:p>
            <w:pPr>
              <w:jc w:val="left"/>
            </w:pPr>
            <w:r>
              <w:rPr>
                <w:rFonts w:hint="eastAsia"/>
              </w:rPr>
              <w:t>时效指标</w:t>
            </w:r>
          </w:p>
        </w:tc>
        <w:tc>
          <w:tcPr>
            <w:tcW w:w="2126" w:type="dxa"/>
            <w:shd w:val="clear" w:color="auto" w:fill="auto"/>
          </w:tcPr>
          <w:p>
            <w:pPr>
              <w:jc w:val="left"/>
            </w:pPr>
            <w:r>
              <w:rPr>
                <w:rFonts w:hint="eastAsia"/>
              </w:rPr>
              <w:t>鉴定费支付及时性</w:t>
            </w:r>
          </w:p>
        </w:tc>
        <w:tc>
          <w:tcPr>
            <w:tcW w:w="2835" w:type="dxa"/>
            <w:shd w:val="clear" w:color="auto" w:fill="auto"/>
          </w:tcPr>
          <w:p>
            <w:pPr>
              <w:jc w:val="left"/>
            </w:pPr>
            <w:r>
              <w:rPr>
                <w:rFonts w:hint="eastAsia"/>
              </w:rPr>
              <w:t>鉴定费支付及时性</w:t>
            </w:r>
          </w:p>
        </w:tc>
        <w:tc>
          <w:tcPr>
            <w:tcW w:w="1276" w:type="dxa"/>
            <w:shd w:val="clear" w:color="auto" w:fill="auto"/>
          </w:tcPr>
          <w:p>
            <w:pPr>
              <w:jc w:val="left"/>
            </w:pPr>
            <w:r>
              <w:rPr>
                <w:rFonts w:hint="eastAsia"/>
              </w:rPr>
              <w:t>100%</w:t>
            </w:r>
          </w:p>
        </w:tc>
        <w:tc>
          <w:tcPr>
            <w:tcW w:w="3945" w:type="dxa"/>
            <w:shd w:val="clear" w:color="auto" w:fill="auto"/>
          </w:tcPr>
          <w:p>
            <w:pPr>
              <w:jc w:val="left"/>
            </w:pPr>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471" w:type="dxa"/>
            <w:shd w:val="clear" w:color="auto" w:fill="auto"/>
          </w:tcPr>
          <w:p>
            <w:pPr>
              <w:jc w:val="left"/>
            </w:pPr>
            <w:r>
              <w:rPr>
                <w:rFonts w:hint="eastAsia"/>
              </w:rPr>
              <w:t>成本指标</w:t>
            </w:r>
          </w:p>
        </w:tc>
        <w:tc>
          <w:tcPr>
            <w:tcW w:w="2126" w:type="dxa"/>
            <w:shd w:val="clear" w:color="auto" w:fill="auto"/>
          </w:tcPr>
          <w:p>
            <w:pPr>
              <w:jc w:val="left"/>
            </w:pPr>
            <w:r>
              <w:rPr>
                <w:rFonts w:hint="eastAsia"/>
              </w:rPr>
              <w:t>日常巡查单位成本</w:t>
            </w:r>
          </w:p>
        </w:tc>
        <w:tc>
          <w:tcPr>
            <w:tcW w:w="2835" w:type="dxa"/>
            <w:shd w:val="clear" w:color="auto" w:fill="auto"/>
          </w:tcPr>
          <w:p>
            <w:pPr>
              <w:jc w:val="left"/>
            </w:pPr>
            <w:r>
              <w:rPr>
                <w:rFonts w:hint="eastAsia"/>
              </w:rPr>
              <w:t>日常巡查单位成本</w:t>
            </w:r>
          </w:p>
        </w:tc>
        <w:tc>
          <w:tcPr>
            <w:tcW w:w="1276" w:type="dxa"/>
            <w:shd w:val="clear" w:color="auto" w:fill="auto"/>
          </w:tcPr>
          <w:p>
            <w:pPr>
              <w:jc w:val="left"/>
            </w:pPr>
            <w:r>
              <w:rPr>
                <w:rFonts w:hint="eastAsia"/>
              </w:rPr>
              <w:t>≤1.54万元</w:t>
            </w:r>
          </w:p>
        </w:tc>
        <w:tc>
          <w:tcPr>
            <w:tcW w:w="3945" w:type="dxa"/>
            <w:shd w:val="clear" w:color="auto" w:fill="auto"/>
          </w:tcPr>
          <w:p>
            <w:pPr>
              <w:jc w:val="left"/>
            </w:pPr>
            <w:r>
              <w:rPr>
                <w:rFonts w:hint="eastAsia"/>
              </w:rPr>
              <w:t>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71" w:type="dxa"/>
            <w:shd w:val="clear" w:color="auto" w:fill="auto"/>
          </w:tcPr>
          <w:p>
            <w:pPr>
              <w:jc w:val="left"/>
            </w:pPr>
            <w:r>
              <w:rPr>
                <w:rFonts w:hint="eastAsia"/>
              </w:rPr>
              <w:t>数量指标</w:t>
            </w:r>
          </w:p>
        </w:tc>
        <w:tc>
          <w:tcPr>
            <w:tcW w:w="2126" w:type="dxa"/>
            <w:shd w:val="clear" w:color="auto" w:fill="auto"/>
          </w:tcPr>
          <w:p>
            <w:pPr>
              <w:jc w:val="left"/>
            </w:pPr>
            <w:r>
              <w:rPr>
                <w:rFonts w:hint="eastAsia"/>
              </w:rPr>
              <w:t>危房改造鉴定数</w:t>
            </w:r>
          </w:p>
        </w:tc>
        <w:tc>
          <w:tcPr>
            <w:tcW w:w="2835" w:type="dxa"/>
            <w:shd w:val="clear" w:color="auto" w:fill="auto"/>
          </w:tcPr>
          <w:p>
            <w:pPr>
              <w:jc w:val="left"/>
            </w:pPr>
            <w:r>
              <w:rPr>
                <w:rFonts w:hint="eastAsia"/>
              </w:rPr>
              <w:t>危房改造鉴定数</w:t>
            </w:r>
          </w:p>
        </w:tc>
        <w:tc>
          <w:tcPr>
            <w:tcW w:w="1276" w:type="dxa"/>
            <w:shd w:val="clear" w:color="auto" w:fill="auto"/>
          </w:tcPr>
          <w:p>
            <w:pPr>
              <w:jc w:val="left"/>
            </w:pPr>
            <w:r>
              <w:rPr>
                <w:rFonts w:hint="eastAsia"/>
              </w:rPr>
              <w:t>&gt;1家</w:t>
            </w:r>
          </w:p>
        </w:tc>
        <w:tc>
          <w:tcPr>
            <w:tcW w:w="3945" w:type="dxa"/>
            <w:shd w:val="clear" w:color="auto" w:fill="auto"/>
          </w:tcPr>
          <w:p>
            <w:pPr>
              <w:jc w:val="left"/>
            </w:pPr>
            <w:r>
              <w:rPr>
                <w:rFonts w:hint="eastAsia"/>
              </w:rPr>
              <w:t>《三河市农村危房改造领导小组办公室关于农村住房安全有保障监测预警和排查处置长效机制管理办法》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71" w:type="dxa"/>
            <w:shd w:val="clear" w:color="auto" w:fill="auto"/>
          </w:tcPr>
          <w:p>
            <w:pPr>
              <w:jc w:val="left"/>
            </w:pPr>
            <w:r>
              <w:rPr>
                <w:rFonts w:hint="eastAsia"/>
              </w:rPr>
              <w:t>成本指标</w:t>
            </w:r>
          </w:p>
        </w:tc>
        <w:tc>
          <w:tcPr>
            <w:tcW w:w="2126" w:type="dxa"/>
            <w:shd w:val="clear" w:color="auto" w:fill="auto"/>
          </w:tcPr>
          <w:p>
            <w:pPr>
              <w:jc w:val="left"/>
            </w:pPr>
            <w:r>
              <w:rPr>
                <w:rFonts w:hint="eastAsia"/>
              </w:rPr>
              <w:t>每户鉴定成本</w:t>
            </w:r>
          </w:p>
        </w:tc>
        <w:tc>
          <w:tcPr>
            <w:tcW w:w="2835" w:type="dxa"/>
            <w:shd w:val="clear" w:color="auto" w:fill="auto"/>
          </w:tcPr>
          <w:p>
            <w:pPr>
              <w:jc w:val="left"/>
            </w:pPr>
            <w:r>
              <w:rPr>
                <w:rFonts w:hint="eastAsia"/>
              </w:rPr>
              <w:t>每户鉴定成本</w:t>
            </w:r>
          </w:p>
        </w:tc>
        <w:tc>
          <w:tcPr>
            <w:tcW w:w="1276" w:type="dxa"/>
            <w:shd w:val="clear" w:color="auto" w:fill="auto"/>
          </w:tcPr>
          <w:p>
            <w:pPr>
              <w:jc w:val="left"/>
            </w:pPr>
            <w:r>
              <w:rPr>
                <w:rFonts w:hint="eastAsia"/>
              </w:rPr>
              <w:t>≤1万元</w:t>
            </w:r>
          </w:p>
        </w:tc>
        <w:tc>
          <w:tcPr>
            <w:tcW w:w="3945" w:type="dxa"/>
            <w:shd w:val="clear" w:color="auto" w:fill="auto"/>
          </w:tcPr>
          <w:p>
            <w:pPr>
              <w:jc w:val="left"/>
            </w:pPr>
            <w:r>
              <w:rPr>
                <w:rFonts w:hint="eastAsia"/>
              </w:rPr>
              <w:t>《三河市农村危房改造领导小组办公室关于农村住房安全有保障监测预警和排查处置长效机制管理办法》</w:t>
            </w:r>
          </w:p>
        </w:tc>
      </w:tr>
    </w:tbl>
    <w:p>
      <w:pPr>
        <w:ind w:firstLine="560"/>
        <w:outlineLvl w:val="3"/>
      </w:pPr>
      <w:bookmarkStart w:id="8" w:name="_Toc_4_4_0000000011"/>
      <w:r>
        <w:rPr>
          <w:rFonts w:ascii="方正仿宋_GBK" w:hAnsi="方正仿宋_GBK" w:eastAsia="方正仿宋_GBK" w:cs="方正仿宋_GBK"/>
          <w:color w:val="000000"/>
          <w:sz w:val="28"/>
        </w:rPr>
        <w:t>8.东市区城市绿地社会化管护项目（重要景点养护经费）绩效目标表</w:t>
      </w:r>
      <w:bookmarkEnd w:id="8"/>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3"/>
        <w:gridCol w:w="1701"/>
        <w:gridCol w:w="1985"/>
        <w:gridCol w:w="3260"/>
        <w:gridCol w:w="1134"/>
        <w:gridCol w:w="42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75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9" w:type="dxa"/>
            <w:gridSpan w:val="5"/>
            <w:shd w:val="clear" w:color="auto" w:fill="auto"/>
            <w:vAlign w:val="center"/>
          </w:tcPr>
          <w:p>
            <w:pPr>
              <w:spacing w:line="300" w:lineRule="exact"/>
              <w:rPr>
                <w:rFonts w:ascii="Times New Roman" w:hAnsi="Times New Roman" w:eastAsia="仿宋_GB2312" w:cs="Times New Roman"/>
                <w:b/>
              </w:rPr>
            </w:pPr>
            <w:r>
              <w:t>通过项目的实施使我市建成区主要的公园广场的绿地养护基本达到北京市绿地养护标准，逐步提高建成区其它区域绿地养护管理水平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75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0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3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753"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01" w:type="dxa"/>
            <w:shd w:val="clear" w:color="auto" w:fill="auto"/>
          </w:tcPr>
          <w:p>
            <w:r>
              <w:rPr>
                <w:rFonts w:hint="eastAsia"/>
              </w:rPr>
              <w:t>数量指标</w:t>
            </w:r>
          </w:p>
        </w:tc>
        <w:tc>
          <w:tcPr>
            <w:tcW w:w="1985" w:type="dxa"/>
            <w:shd w:val="clear" w:color="auto" w:fill="auto"/>
          </w:tcPr>
          <w:p>
            <w:r>
              <w:rPr>
                <w:rFonts w:hint="eastAsia"/>
              </w:rPr>
              <w:t>巡护区域的个数</w:t>
            </w:r>
          </w:p>
        </w:tc>
        <w:tc>
          <w:tcPr>
            <w:tcW w:w="3260" w:type="dxa"/>
            <w:shd w:val="clear" w:color="auto" w:fill="auto"/>
          </w:tcPr>
          <w:p>
            <w:r>
              <w:rPr>
                <w:rFonts w:hint="eastAsia"/>
              </w:rPr>
              <w:t>巡护区域的个数</w:t>
            </w:r>
          </w:p>
        </w:tc>
        <w:tc>
          <w:tcPr>
            <w:tcW w:w="1134" w:type="dxa"/>
            <w:shd w:val="clear" w:color="auto" w:fill="auto"/>
          </w:tcPr>
          <w:p>
            <w:r>
              <w:rPr>
                <w:rFonts w:hint="eastAsia"/>
              </w:rPr>
              <w:t>6个</w:t>
            </w:r>
          </w:p>
        </w:tc>
        <w:tc>
          <w:tcPr>
            <w:tcW w:w="4229" w:type="dxa"/>
            <w:shd w:val="clear" w:color="auto" w:fill="auto"/>
          </w:tcPr>
          <w:p>
            <w:r>
              <w:rPr>
                <w:rFonts w:hint="eastAsia"/>
              </w:rPr>
              <w:t>北京市《城镇绿地养护管理规范》DB11/T 213—2014、《三河市公共绿地精细化养护管理标准》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753" w:type="dxa"/>
            <w:vMerge w:val="continue"/>
            <w:shd w:val="clear" w:color="auto" w:fill="auto"/>
            <w:vAlign w:val="center"/>
          </w:tcPr>
          <w:p/>
        </w:tc>
        <w:tc>
          <w:tcPr>
            <w:tcW w:w="1701" w:type="dxa"/>
            <w:shd w:val="clear" w:color="auto" w:fill="auto"/>
          </w:tcPr>
          <w:p>
            <w:r>
              <w:rPr>
                <w:rFonts w:hint="eastAsia"/>
              </w:rPr>
              <w:t>质量指标</w:t>
            </w:r>
          </w:p>
        </w:tc>
        <w:tc>
          <w:tcPr>
            <w:tcW w:w="1985" w:type="dxa"/>
            <w:shd w:val="clear" w:color="auto" w:fill="auto"/>
          </w:tcPr>
          <w:p>
            <w:r>
              <w:rPr>
                <w:rFonts w:hint="eastAsia"/>
              </w:rPr>
              <w:t>管理园林设施的完好率</w:t>
            </w:r>
          </w:p>
        </w:tc>
        <w:tc>
          <w:tcPr>
            <w:tcW w:w="3260" w:type="dxa"/>
            <w:shd w:val="clear" w:color="auto" w:fill="auto"/>
          </w:tcPr>
          <w:p>
            <w:r>
              <w:rPr>
                <w:rFonts w:hint="eastAsia"/>
              </w:rPr>
              <w:t>外观良好且能够正常使用的数量占总数量的比例</w:t>
            </w:r>
          </w:p>
        </w:tc>
        <w:tc>
          <w:tcPr>
            <w:tcW w:w="1134" w:type="dxa"/>
            <w:shd w:val="clear" w:color="auto" w:fill="auto"/>
          </w:tcPr>
          <w:p>
            <w:r>
              <w:rPr>
                <w:rFonts w:hint="eastAsia"/>
              </w:rPr>
              <w:t>≥98%</w:t>
            </w:r>
          </w:p>
        </w:tc>
        <w:tc>
          <w:tcPr>
            <w:tcW w:w="4229" w:type="dxa"/>
            <w:shd w:val="clear" w:color="auto" w:fill="auto"/>
          </w:tcPr>
          <w:p>
            <w:r>
              <w:rPr>
                <w:rFonts w:hint="eastAsia"/>
              </w:rPr>
              <w:t>北京市《城镇绿地养护管理规范》DB11/T 213—2014、《三河市公共绿地精细化养护管理标准》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753" w:type="dxa"/>
            <w:vMerge w:val="continue"/>
            <w:shd w:val="clear" w:color="auto" w:fill="auto"/>
            <w:vAlign w:val="center"/>
          </w:tcPr>
          <w:p/>
        </w:tc>
        <w:tc>
          <w:tcPr>
            <w:tcW w:w="1701" w:type="dxa"/>
            <w:shd w:val="clear" w:color="auto" w:fill="auto"/>
          </w:tcPr>
          <w:p>
            <w:r>
              <w:rPr>
                <w:rFonts w:hint="eastAsia"/>
              </w:rPr>
              <w:t>时效指标</w:t>
            </w:r>
          </w:p>
        </w:tc>
        <w:tc>
          <w:tcPr>
            <w:tcW w:w="1985" w:type="dxa"/>
            <w:shd w:val="clear" w:color="auto" w:fill="auto"/>
          </w:tcPr>
          <w:p>
            <w:r>
              <w:rPr>
                <w:rFonts w:hint="eastAsia"/>
              </w:rPr>
              <w:t>日常养护频率（天）</w:t>
            </w:r>
          </w:p>
        </w:tc>
        <w:tc>
          <w:tcPr>
            <w:tcW w:w="3260" w:type="dxa"/>
            <w:shd w:val="clear" w:color="auto" w:fill="auto"/>
          </w:tcPr>
          <w:p>
            <w:r>
              <w:rPr>
                <w:rFonts w:hint="eastAsia"/>
              </w:rPr>
              <w:t>当年实际日常管护频率</w:t>
            </w:r>
          </w:p>
        </w:tc>
        <w:tc>
          <w:tcPr>
            <w:tcW w:w="1134" w:type="dxa"/>
            <w:shd w:val="clear" w:color="auto" w:fill="auto"/>
          </w:tcPr>
          <w:p>
            <w:r>
              <w:rPr>
                <w:rFonts w:hint="eastAsia"/>
              </w:rPr>
              <w:t>≥345天</w:t>
            </w:r>
          </w:p>
        </w:tc>
        <w:tc>
          <w:tcPr>
            <w:tcW w:w="4229" w:type="dxa"/>
            <w:shd w:val="clear" w:color="auto" w:fill="auto"/>
          </w:tcPr>
          <w:p>
            <w:r>
              <w:rPr>
                <w:rFonts w:hint="eastAsia"/>
              </w:rPr>
              <w:t>北京市《城镇绿地养护管理规范》DB11/T 213—2014、《三河市公共绿地精细化养护管理标准》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753" w:type="dxa"/>
            <w:vMerge w:val="continue"/>
            <w:shd w:val="clear" w:color="auto" w:fill="auto"/>
            <w:vAlign w:val="center"/>
          </w:tcPr>
          <w:p/>
        </w:tc>
        <w:tc>
          <w:tcPr>
            <w:tcW w:w="1701" w:type="dxa"/>
            <w:shd w:val="clear" w:color="auto" w:fill="auto"/>
          </w:tcPr>
          <w:p>
            <w:r>
              <w:rPr>
                <w:rFonts w:hint="eastAsia"/>
              </w:rPr>
              <w:t>成本指标</w:t>
            </w:r>
          </w:p>
        </w:tc>
        <w:tc>
          <w:tcPr>
            <w:tcW w:w="1985" w:type="dxa"/>
            <w:shd w:val="clear" w:color="auto" w:fill="auto"/>
          </w:tcPr>
          <w:p>
            <w:r>
              <w:rPr>
                <w:rFonts w:hint="eastAsia"/>
              </w:rPr>
              <w:t>平均每个巡护区域的成本</w:t>
            </w:r>
          </w:p>
        </w:tc>
        <w:tc>
          <w:tcPr>
            <w:tcW w:w="3260" w:type="dxa"/>
            <w:shd w:val="clear" w:color="auto" w:fill="auto"/>
          </w:tcPr>
          <w:p>
            <w:r>
              <w:rPr>
                <w:rFonts w:hint="eastAsia"/>
              </w:rPr>
              <w:t>平均每个巡护区域的成本</w:t>
            </w:r>
          </w:p>
        </w:tc>
        <w:tc>
          <w:tcPr>
            <w:tcW w:w="1134" w:type="dxa"/>
            <w:shd w:val="clear" w:color="auto" w:fill="auto"/>
          </w:tcPr>
          <w:p>
            <w:r>
              <w:rPr>
                <w:rFonts w:hint="eastAsia"/>
              </w:rPr>
              <w:t>≤733.14万元</w:t>
            </w:r>
          </w:p>
        </w:tc>
        <w:tc>
          <w:tcPr>
            <w:tcW w:w="4229"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75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01" w:type="dxa"/>
            <w:shd w:val="clear" w:color="auto" w:fill="auto"/>
          </w:tcPr>
          <w:p>
            <w:r>
              <w:rPr>
                <w:rFonts w:hint="eastAsia"/>
              </w:rPr>
              <w:t>社会效益指标</w:t>
            </w:r>
          </w:p>
        </w:tc>
        <w:tc>
          <w:tcPr>
            <w:tcW w:w="1985" w:type="dxa"/>
            <w:shd w:val="clear" w:color="auto" w:fill="auto"/>
          </w:tcPr>
          <w:p>
            <w:r>
              <w:rPr>
                <w:rFonts w:hint="eastAsia"/>
              </w:rPr>
              <w:t>隐患消除及时率</w:t>
            </w:r>
          </w:p>
        </w:tc>
        <w:tc>
          <w:tcPr>
            <w:tcW w:w="3260" w:type="dxa"/>
            <w:shd w:val="clear" w:color="auto" w:fill="auto"/>
          </w:tcPr>
          <w:p>
            <w:r>
              <w:rPr>
                <w:rFonts w:hint="eastAsia"/>
              </w:rPr>
              <w:t>通过维护改造，及时消除安全隐患占存在安全隐患的比率</w:t>
            </w:r>
          </w:p>
        </w:tc>
        <w:tc>
          <w:tcPr>
            <w:tcW w:w="1134" w:type="dxa"/>
            <w:shd w:val="clear" w:color="auto" w:fill="auto"/>
          </w:tcPr>
          <w:p>
            <w:r>
              <w:rPr>
                <w:rFonts w:hint="eastAsia"/>
              </w:rPr>
              <w:t>≥95%</w:t>
            </w:r>
          </w:p>
        </w:tc>
        <w:tc>
          <w:tcPr>
            <w:tcW w:w="4229" w:type="dxa"/>
            <w:shd w:val="clear" w:color="auto" w:fill="auto"/>
          </w:tcPr>
          <w:p>
            <w:r>
              <w:rPr>
                <w:rFonts w:hint="eastAsia"/>
              </w:rPr>
              <w:t>北京市《城镇绿地养护管理规范》DB11/T 213—2014、《三河市公共绿地精细化养护管理标准》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75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01" w:type="dxa"/>
            <w:shd w:val="clear" w:color="auto" w:fill="auto"/>
          </w:tcPr>
          <w:p>
            <w:r>
              <w:rPr>
                <w:rFonts w:hint="eastAsia"/>
              </w:rPr>
              <w:t>生态效益指标</w:t>
            </w:r>
          </w:p>
        </w:tc>
        <w:tc>
          <w:tcPr>
            <w:tcW w:w="1985" w:type="dxa"/>
            <w:shd w:val="clear" w:color="auto" w:fill="auto"/>
          </w:tcPr>
          <w:p>
            <w:r>
              <w:rPr>
                <w:rFonts w:hint="eastAsia"/>
              </w:rPr>
              <w:t>空气质量</w:t>
            </w:r>
          </w:p>
        </w:tc>
        <w:tc>
          <w:tcPr>
            <w:tcW w:w="3260" w:type="dxa"/>
            <w:shd w:val="clear" w:color="auto" w:fill="auto"/>
          </w:tcPr>
          <w:p>
            <w:r>
              <w:rPr>
                <w:rFonts w:hint="eastAsia"/>
              </w:rPr>
              <w:t>改善空气质量</w:t>
            </w:r>
          </w:p>
        </w:tc>
        <w:tc>
          <w:tcPr>
            <w:tcW w:w="1134" w:type="dxa"/>
            <w:shd w:val="clear" w:color="auto" w:fill="auto"/>
          </w:tcPr>
          <w:p>
            <w:r>
              <w:rPr>
                <w:rFonts w:hint="eastAsia"/>
              </w:rPr>
              <w:t>≥350天</w:t>
            </w:r>
          </w:p>
        </w:tc>
        <w:tc>
          <w:tcPr>
            <w:tcW w:w="4229" w:type="dxa"/>
            <w:shd w:val="clear" w:color="auto" w:fill="auto"/>
          </w:tcPr>
          <w:p>
            <w:r>
              <w:rPr>
                <w:rFonts w:hint="eastAsia"/>
              </w:rPr>
              <w:t>采购合同</w:t>
            </w:r>
          </w:p>
        </w:tc>
      </w:tr>
    </w:tbl>
    <w:p>
      <w:pPr>
        <w:ind w:firstLine="560"/>
        <w:outlineLvl w:val="3"/>
      </w:pPr>
      <w:bookmarkStart w:id="9" w:name="_Toc_4_4_0000000012"/>
      <w:r>
        <w:rPr>
          <w:rFonts w:ascii="方正仿宋_GBK" w:hAnsi="方正仿宋_GBK" w:eastAsia="方正仿宋_GBK" w:cs="方正仿宋_GBK"/>
          <w:color w:val="000000"/>
          <w:sz w:val="28"/>
        </w:rPr>
        <w:t>9.房产交易管理经费绩效目标表</w:t>
      </w:r>
      <w:bookmarkEnd w:id="9"/>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559"/>
        <w:gridCol w:w="2552"/>
        <w:gridCol w:w="5386"/>
        <w:gridCol w:w="1418"/>
        <w:gridCol w:w="16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通过项目开展，保障交易系统安全稳定运行。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5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5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53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6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59" w:type="dxa"/>
            <w:shd w:val="clear" w:color="auto" w:fill="auto"/>
          </w:tcPr>
          <w:p>
            <w:r>
              <w:rPr>
                <w:rFonts w:hint="eastAsia"/>
              </w:rPr>
              <w:t>数量指标</w:t>
            </w:r>
          </w:p>
        </w:tc>
        <w:tc>
          <w:tcPr>
            <w:tcW w:w="2552" w:type="dxa"/>
            <w:shd w:val="clear" w:color="auto" w:fill="auto"/>
          </w:tcPr>
          <w:p>
            <w:r>
              <w:rPr>
                <w:rFonts w:hint="eastAsia"/>
              </w:rPr>
              <w:t>维护软件数量</w:t>
            </w:r>
          </w:p>
        </w:tc>
        <w:tc>
          <w:tcPr>
            <w:tcW w:w="5386" w:type="dxa"/>
            <w:shd w:val="clear" w:color="auto" w:fill="auto"/>
          </w:tcPr>
          <w:p>
            <w:r>
              <w:rPr>
                <w:rFonts w:hint="eastAsia"/>
              </w:rPr>
              <w:t>年度内维护房产软件数量</w:t>
            </w:r>
          </w:p>
        </w:tc>
        <w:tc>
          <w:tcPr>
            <w:tcW w:w="1418" w:type="dxa"/>
            <w:shd w:val="clear" w:color="auto" w:fill="auto"/>
          </w:tcPr>
          <w:p>
            <w:r>
              <w:rPr>
                <w:rFonts w:hint="eastAsia"/>
              </w:rPr>
              <w:t>≥1条</w:t>
            </w:r>
          </w:p>
        </w:tc>
        <w:tc>
          <w:tcPr>
            <w:tcW w:w="1677"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559" w:type="dxa"/>
            <w:shd w:val="clear" w:color="auto" w:fill="auto"/>
          </w:tcPr>
          <w:p>
            <w:r>
              <w:rPr>
                <w:rFonts w:hint="eastAsia"/>
              </w:rPr>
              <w:t>质量指标</w:t>
            </w:r>
          </w:p>
        </w:tc>
        <w:tc>
          <w:tcPr>
            <w:tcW w:w="2552" w:type="dxa"/>
            <w:shd w:val="clear" w:color="auto" w:fill="auto"/>
          </w:tcPr>
          <w:p>
            <w:r>
              <w:rPr>
                <w:rFonts w:hint="eastAsia"/>
              </w:rPr>
              <w:t>正常运转率</w:t>
            </w:r>
          </w:p>
        </w:tc>
        <w:tc>
          <w:tcPr>
            <w:tcW w:w="5386" w:type="dxa"/>
            <w:shd w:val="clear" w:color="auto" w:fill="auto"/>
          </w:tcPr>
          <w:p>
            <w:r>
              <w:rPr>
                <w:rFonts w:hint="eastAsia"/>
              </w:rPr>
              <w:t>房产软件正常运转率</w:t>
            </w:r>
          </w:p>
        </w:tc>
        <w:tc>
          <w:tcPr>
            <w:tcW w:w="1418" w:type="dxa"/>
            <w:shd w:val="clear" w:color="auto" w:fill="auto"/>
          </w:tcPr>
          <w:p>
            <w:r>
              <w:rPr>
                <w:rFonts w:hint="eastAsia"/>
              </w:rPr>
              <w:t>≥95%</w:t>
            </w:r>
          </w:p>
        </w:tc>
        <w:tc>
          <w:tcPr>
            <w:tcW w:w="1677"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559" w:type="dxa"/>
            <w:shd w:val="clear" w:color="auto" w:fill="auto"/>
          </w:tcPr>
          <w:p>
            <w:r>
              <w:rPr>
                <w:rFonts w:hint="eastAsia"/>
              </w:rPr>
              <w:t>时效指标</w:t>
            </w:r>
          </w:p>
        </w:tc>
        <w:tc>
          <w:tcPr>
            <w:tcW w:w="2552" w:type="dxa"/>
            <w:shd w:val="clear" w:color="auto" w:fill="auto"/>
          </w:tcPr>
          <w:p>
            <w:r>
              <w:rPr>
                <w:rFonts w:hint="eastAsia"/>
              </w:rPr>
              <w:t>按时发放工资</w:t>
            </w:r>
          </w:p>
        </w:tc>
        <w:tc>
          <w:tcPr>
            <w:tcW w:w="5386" w:type="dxa"/>
            <w:shd w:val="clear" w:color="auto" w:fill="auto"/>
          </w:tcPr>
          <w:p>
            <w:r>
              <w:rPr>
                <w:rFonts w:hint="eastAsia"/>
              </w:rPr>
              <w:t>次月发放劳务派遣人员工资</w:t>
            </w:r>
          </w:p>
        </w:tc>
        <w:tc>
          <w:tcPr>
            <w:tcW w:w="1418" w:type="dxa"/>
            <w:shd w:val="clear" w:color="auto" w:fill="auto"/>
          </w:tcPr>
          <w:p>
            <w:r>
              <w:rPr>
                <w:rFonts w:hint="eastAsia"/>
              </w:rPr>
              <w:t>12次</w:t>
            </w:r>
          </w:p>
        </w:tc>
        <w:tc>
          <w:tcPr>
            <w:tcW w:w="1677" w:type="dxa"/>
            <w:shd w:val="clear" w:color="auto" w:fill="auto"/>
          </w:tcPr>
          <w:p>
            <w:r>
              <w:rPr>
                <w:rFonts w:hint="eastAsia"/>
              </w:rP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559" w:type="dxa"/>
            <w:shd w:val="clear" w:color="auto" w:fill="auto"/>
          </w:tcPr>
          <w:p>
            <w:r>
              <w:rPr>
                <w:rFonts w:hint="eastAsia"/>
              </w:rPr>
              <w:t>成本指标</w:t>
            </w:r>
          </w:p>
        </w:tc>
        <w:tc>
          <w:tcPr>
            <w:tcW w:w="2552" w:type="dxa"/>
            <w:shd w:val="clear" w:color="auto" w:fill="auto"/>
          </w:tcPr>
          <w:p>
            <w:r>
              <w:rPr>
                <w:rFonts w:hint="eastAsia"/>
              </w:rPr>
              <w:t>房产软件维护经费成本控制</w:t>
            </w:r>
          </w:p>
        </w:tc>
        <w:tc>
          <w:tcPr>
            <w:tcW w:w="5386" w:type="dxa"/>
            <w:shd w:val="clear" w:color="auto" w:fill="auto"/>
          </w:tcPr>
          <w:p>
            <w:r>
              <w:rPr>
                <w:rFonts w:hint="eastAsia"/>
              </w:rPr>
              <w:t>房产软件网络维护费年度费用</w:t>
            </w:r>
          </w:p>
        </w:tc>
        <w:tc>
          <w:tcPr>
            <w:tcW w:w="1418" w:type="dxa"/>
            <w:shd w:val="clear" w:color="auto" w:fill="auto"/>
          </w:tcPr>
          <w:p>
            <w:r>
              <w:rPr>
                <w:rFonts w:hint="eastAsia"/>
              </w:rPr>
              <w:t>≤5万元</w:t>
            </w:r>
          </w:p>
        </w:tc>
        <w:tc>
          <w:tcPr>
            <w:tcW w:w="1677"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59" w:type="dxa"/>
            <w:shd w:val="clear" w:color="auto" w:fill="auto"/>
          </w:tcPr>
          <w:p>
            <w:r>
              <w:rPr>
                <w:rFonts w:hint="eastAsia"/>
              </w:rPr>
              <w:t>社会效益指标</w:t>
            </w:r>
          </w:p>
        </w:tc>
        <w:tc>
          <w:tcPr>
            <w:tcW w:w="2552" w:type="dxa"/>
            <w:shd w:val="clear" w:color="auto" w:fill="auto"/>
          </w:tcPr>
          <w:p>
            <w:r>
              <w:rPr>
                <w:rFonts w:hint="eastAsia"/>
              </w:rPr>
              <w:t>档案检索时间节省情况</w:t>
            </w:r>
          </w:p>
        </w:tc>
        <w:tc>
          <w:tcPr>
            <w:tcW w:w="5386" w:type="dxa"/>
            <w:shd w:val="clear" w:color="auto" w:fill="auto"/>
          </w:tcPr>
          <w:p>
            <w:r>
              <w:rPr>
                <w:rFonts w:hint="eastAsia"/>
              </w:rPr>
              <w:t>项目实施前后档案检索平均时间节省的情况</w:t>
            </w:r>
          </w:p>
        </w:tc>
        <w:tc>
          <w:tcPr>
            <w:tcW w:w="1418" w:type="dxa"/>
            <w:shd w:val="clear" w:color="auto" w:fill="auto"/>
          </w:tcPr>
          <w:p>
            <w:r>
              <w:rPr>
                <w:rFonts w:hint="eastAsia"/>
              </w:rPr>
              <w:t>有所改善</w:t>
            </w:r>
          </w:p>
        </w:tc>
        <w:tc>
          <w:tcPr>
            <w:tcW w:w="1677"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59" w:type="dxa"/>
            <w:shd w:val="clear" w:color="auto" w:fill="auto"/>
          </w:tcPr>
          <w:p>
            <w:r>
              <w:rPr>
                <w:rFonts w:hint="eastAsia"/>
              </w:rPr>
              <w:t>服务对象满意度指标</w:t>
            </w:r>
          </w:p>
        </w:tc>
        <w:tc>
          <w:tcPr>
            <w:tcW w:w="2552" w:type="dxa"/>
            <w:shd w:val="clear" w:color="auto" w:fill="auto"/>
          </w:tcPr>
          <w:p>
            <w:r>
              <w:rPr>
                <w:rFonts w:hint="eastAsia"/>
              </w:rPr>
              <w:t>服务对象满意度（%）</w:t>
            </w:r>
          </w:p>
        </w:tc>
        <w:tc>
          <w:tcPr>
            <w:tcW w:w="5386" w:type="dxa"/>
            <w:shd w:val="clear" w:color="auto" w:fill="auto"/>
          </w:tcPr>
          <w:p>
            <w:r>
              <w:rPr>
                <w:rFonts w:hint="eastAsia"/>
              </w:rPr>
              <w:t>通过当年的交易数量满意程度占全年度任务总数的比率</w:t>
            </w:r>
          </w:p>
        </w:tc>
        <w:tc>
          <w:tcPr>
            <w:tcW w:w="1418" w:type="dxa"/>
            <w:shd w:val="clear" w:color="auto" w:fill="auto"/>
          </w:tcPr>
          <w:p>
            <w:r>
              <w:rPr>
                <w:rFonts w:hint="eastAsia"/>
              </w:rPr>
              <w:t>≥95%</w:t>
            </w:r>
          </w:p>
        </w:tc>
        <w:tc>
          <w:tcPr>
            <w:tcW w:w="1677" w:type="dxa"/>
            <w:shd w:val="clear" w:color="auto" w:fill="auto"/>
          </w:tcPr>
          <w:p>
            <w:r>
              <w:rPr>
                <w:rFonts w:hint="eastAsia"/>
              </w:rPr>
              <w:t>满意度调查表</w:t>
            </w:r>
          </w:p>
        </w:tc>
      </w:tr>
    </w:tbl>
    <w:p>
      <w:pPr>
        <w:ind w:firstLine="560"/>
        <w:outlineLvl w:val="3"/>
      </w:pPr>
      <w:bookmarkStart w:id="10" w:name="_Toc_4_4_0000000013"/>
      <w:r>
        <w:rPr>
          <w:rFonts w:ascii="方正仿宋_GBK" w:hAnsi="方正仿宋_GBK" w:eastAsia="方正仿宋_GBK" w:cs="方正仿宋_GBK"/>
          <w:color w:val="000000"/>
          <w:sz w:val="28"/>
        </w:rPr>
        <w:t>10.房地产行业管理经费绩效目标表</w:t>
      </w:r>
      <w:bookmarkEnd w:id="1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pStyle w:val="14"/>
            </w:pPr>
            <w:r>
              <w:t>1.通过项目开展，加强房地产企业、房地产中介机构管理，促进房地产市场平稳健康发展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监督检查企业数量</w:t>
            </w:r>
          </w:p>
        </w:tc>
        <w:tc>
          <w:tcPr>
            <w:tcW w:w="3544" w:type="dxa"/>
            <w:shd w:val="clear" w:color="auto" w:fill="auto"/>
          </w:tcPr>
          <w:p>
            <w:r>
              <w:rPr>
                <w:rFonts w:hint="eastAsia"/>
              </w:rPr>
              <w:t>开展监督检查企业的数量</w:t>
            </w:r>
          </w:p>
        </w:tc>
        <w:tc>
          <w:tcPr>
            <w:tcW w:w="1276" w:type="dxa"/>
            <w:shd w:val="clear" w:color="auto" w:fill="auto"/>
          </w:tcPr>
          <w:p>
            <w:r>
              <w:rPr>
                <w:rFonts w:hint="eastAsia"/>
              </w:rPr>
              <w:t>≥60家</w:t>
            </w:r>
          </w:p>
        </w:tc>
        <w:tc>
          <w:tcPr>
            <w:tcW w:w="4512" w:type="dxa"/>
            <w:shd w:val="clear" w:color="auto" w:fill="auto"/>
          </w:tcPr>
          <w:p>
            <w:r>
              <w:rPr>
                <w:rFonts w:hint="eastAsia"/>
              </w:rPr>
              <w:t>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软件运转正常率</w:t>
            </w:r>
          </w:p>
        </w:tc>
        <w:tc>
          <w:tcPr>
            <w:tcW w:w="3544" w:type="dxa"/>
            <w:shd w:val="clear" w:color="auto" w:fill="auto"/>
          </w:tcPr>
          <w:p>
            <w:r>
              <w:rPr>
                <w:rFonts w:hint="eastAsia"/>
              </w:rPr>
              <w:t>房产软件正常运转的比率</w:t>
            </w:r>
          </w:p>
        </w:tc>
        <w:tc>
          <w:tcPr>
            <w:tcW w:w="1276" w:type="dxa"/>
            <w:shd w:val="clear" w:color="auto" w:fill="auto"/>
          </w:tcPr>
          <w:p>
            <w:r>
              <w:rPr>
                <w:rFonts w:hint="eastAsia"/>
              </w:rPr>
              <w:t>100%</w:t>
            </w:r>
          </w:p>
        </w:tc>
        <w:tc>
          <w:tcPr>
            <w:tcW w:w="4512" w:type="dxa"/>
            <w:shd w:val="clear" w:color="auto" w:fill="auto"/>
          </w:tcPr>
          <w:p>
            <w:r>
              <w:rPr>
                <w:rFonts w:hint="eastAsia"/>
              </w:rPr>
              <w:t>监测记录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资金支付及时率</w:t>
            </w:r>
          </w:p>
        </w:tc>
        <w:tc>
          <w:tcPr>
            <w:tcW w:w="3544" w:type="dxa"/>
            <w:shd w:val="clear" w:color="auto" w:fill="auto"/>
          </w:tcPr>
          <w:p>
            <w:r>
              <w:rPr>
                <w:rFonts w:hint="eastAsia"/>
              </w:rPr>
              <w:t>资金支付及时率</w:t>
            </w:r>
          </w:p>
        </w:tc>
        <w:tc>
          <w:tcPr>
            <w:tcW w:w="1276" w:type="dxa"/>
            <w:shd w:val="clear" w:color="auto" w:fill="auto"/>
          </w:tcPr>
          <w:p>
            <w:r>
              <w:rPr>
                <w:rFonts w:hint="eastAsia"/>
              </w:rPr>
              <w:t>100%</w:t>
            </w:r>
          </w:p>
        </w:tc>
        <w:tc>
          <w:tcPr>
            <w:tcW w:w="4512"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平均每家监督企业成本</w:t>
            </w:r>
          </w:p>
        </w:tc>
        <w:tc>
          <w:tcPr>
            <w:tcW w:w="3544" w:type="dxa"/>
            <w:shd w:val="clear" w:color="auto" w:fill="auto"/>
          </w:tcPr>
          <w:p>
            <w:r>
              <w:rPr>
                <w:rFonts w:hint="eastAsia"/>
              </w:rPr>
              <w:t>平均每家监督企业成本</w:t>
            </w:r>
          </w:p>
        </w:tc>
        <w:tc>
          <w:tcPr>
            <w:tcW w:w="1276" w:type="dxa"/>
            <w:shd w:val="clear" w:color="auto" w:fill="auto"/>
          </w:tcPr>
          <w:p>
            <w:r>
              <w:rPr>
                <w:rFonts w:hint="eastAsia"/>
              </w:rPr>
              <w:t>≤0.1万元</w:t>
            </w:r>
          </w:p>
        </w:tc>
        <w:tc>
          <w:tcPr>
            <w:tcW w:w="4512" w:type="dxa"/>
            <w:shd w:val="clear" w:color="auto" w:fill="auto"/>
          </w:tcPr>
          <w:p>
            <w:r>
              <w:rPr>
                <w:rFonts w:hint="eastAsia"/>
              </w:rP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改善房地产市场健康发展</w:t>
            </w:r>
          </w:p>
        </w:tc>
        <w:tc>
          <w:tcPr>
            <w:tcW w:w="3544" w:type="dxa"/>
            <w:shd w:val="clear" w:color="auto" w:fill="auto"/>
          </w:tcPr>
          <w:p>
            <w:r>
              <w:rPr>
                <w:rFonts w:hint="eastAsia"/>
              </w:rPr>
              <w:t>通过监督检查，对房地产市场健康发展的改善情况</w:t>
            </w:r>
          </w:p>
        </w:tc>
        <w:tc>
          <w:tcPr>
            <w:tcW w:w="1276" w:type="dxa"/>
            <w:shd w:val="clear" w:color="auto" w:fill="auto"/>
          </w:tcPr>
          <w:p>
            <w:r>
              <w:rPr>
                <w:rFonts w:hint="eastAsia"/>
              </w:rPr>
              <w:t>有所改善</w:t>
            </w:r>
          </w:p>
        </w:tc>
        <w:tc>
          <w:tcPr>
            <w:tcW w:w="4512" w:type="dxa"/>
            <w:shd w:val="clear" w:color="auto" w:fill="auto"/>
          </w:tcPr>
          <w:p>
            <w:r>
              <w:rPr>
                <w:rFonts w:hint="eastAsia"/>
              </w:rPr>
              <w:t>《中华人民共和国城市房地产管理法》中华人民共和国主席令第七十二号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对使用人员调查中满意人数占调查总人数的比例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1" w:name="_Toc_4_4_0000000014"/>
      <w:r>
        <w:rPr>
          <w:rFonts w:ascii="方正仿宋_GBK" w:hAnsi="方正仿宋_GBK" w:eastAsia="方正仿宋_GBK" w:cs="方正仿宋_GBK"/>
          <w:color w:val="000000"/>
          <w:sz w:val="28"/>
        </w:rPr>
        <w:t>11.房管所专项经费绩效目标表</w:t>
      </w:r>
      <w:bookmarkEnd w:id="11"/>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通过项目开展，保障相关工作正常进行。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实际发放人数</w:t>
            </w:r>
          </w:p>
        </w:tc>
        <w:tc>
          <w:tcPr>
            <w:tcW w:w="3544" w:type="dxa"/>
            <w:shd w:val="clear" w:color="auto" w:fill="auto"/>
          </w:tcPr>
          <w:p>
            <w:r>
              <w:rPr>
                <w:rFonts w:hint="eastAsia"/>
              </w:rPr>
              <w:t>实际发放的在职人员人数</w:t>
            </w:r>
          </w:p>
        </w:tc>
        <w:tc>
          <w:tcPr>
            <w:tcW w:w="1276" w:type="dxa"/>
            <w:shd w:val="clear" w:color="auto" w:fill="auto"/>
          </w:tcPr>
          <w:p>
            <w:r>
              <w:rPr>
                <w:rFonts w:hint="eastAsia"/>
              </w:rPr>
              <w:t>12人</w:t>
            </w:r>
          </w:p>
        </w:tc>
        <w:tc>
          <w:tcPr>
            <w:tcW w:w="4512" w:type="dxa"/>
            <w:shd w:val="clear" w:color="auto" w:fill="auto"/>
          </w:tcPr>
          <w:p>
            <w:r>
              <w:rPr>
                <w:rFonts w:hint="eastAsia"/>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根据工资发放标准足额发放人员工资的比率</w:t>
            </w:r>
          </w:p>
        </w:tc>
        <w:tc>
          <w:tcPr>
            <w:tcW w:w="3544" w:type="dxa"/>
            <w:shd w:val="clear" w:color="auto" w:fill="auto"/>
          </w:tcPr>
          <w:p>
            <w:r>
              <w:rPr>
                <w:rFonts w:hint="eastAsia"/>
              </w:rPr>
              <w:t>实发工资金额占应发工资金额的比率</w:t>
            </w:r>
          </w:p>
        </w:tc>
        <w:tc>
          <w:tcPr>
            <w:tcW w:w="1276" w:type="dxa"/>
            <w:shd w:val="clear" w:color="auto" w:fill="auto"/>
          </w:tcPr>
          <w:p>
            <w:r>
              <w:rPr>
                <w:rFonts w:hint="eastAsia"/>
              </w:rPr>
              <w:t>100%</w:t>
            </w:r>
          </w:p>
        </w:tc>
        <w:tc>
          <w:tcPr>
            <w:tcW w:w="4512" w:type="dxa"/>
            <w:shd w:val="clear" w:color="auto" w:fill="auto"/>
          </w:tcPr>
          <w:p>
            <w:r>
              <w:rPr>
                <w:rFonts w:hint="eastAsia"/>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按时发放工资</w:t>
            </w:r>
          </w:p>
        </w:tc>
        <w:tc>
          <w:tcPr>
            <w:tcW w:w="3544" w:type="dxa"/>
            <w:shd w:val="clear" w:color="auto" w:fill="auto"/>
          </w:tcPr>
          <w:p>
            <w:r>
              <w:rPr>
                <w:rFonts w:hint="eastAsia"/>
              </w:rPr>
              <w:t>次月初发放劳务人员工资</w:t>
            </w:r>
          </w:p>
        </w:tc>
        <w:tc>
          <w:tcPr>
            <w:tcW w:w="1276" w:type="dxa"/>
            <w:shd w:val="clear" w:color="auto" w:fill="auto"/>
          </w:tcPr>
          <w:p>
            <w:r>
              <w:rPr>
                <w:rFonts w:hint="eastAsia"/>
              </w:rPr>
              <w:t>12月</w:t>
            </w:r>
          </w:p>
        </w:tc>
        <w:tc>
          <w:tcPr>
            <w:tcW w:w="4512" w:type="dxa"/>
            <w:shd w:val="clear" w:color="auto" w:fill="auto"/>
          </w:tcPr>
          <w:p>
            <w:r>
              <w:rPr>
                <w:rFonts w:hint="eastAsia"/>
              </w:rPr>
              <w:t>劳动合同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成本控制率（%）</w:t>
            </w:r>
          </w:p>
        </w:tc>
        <w:tc>
          <w:tcPr>
            <w:tcW w:w="3544" w:type="dxa"/>
            <w:shd w:val="clear" w:color="auto" w:fill="auto"/>
          </w:tcPr>
          <w:p>
            <w:r>
              <w:rPr>
                <w:rFonts w:hint="eastAsia"/>
              </w:rPr>
              <w:t>实际发放的金额低于预算金额的比率</w:t>
            </w:r>
          </w:p>
        </w:tc>
        <w:tc>
          <w:tcPr>
            <w:tcW w:w="1276" w:type="dxa"/>
            <w:shd w:val="clear" w:color="auto" w:fill="auto"/>
          </w:tcPr>
          <w:p>
            <w:r>
              <w:rPr>
                <w:rFonts w:hint="eastAsia"/>
              </w:rPr>
              <w:t>100%</w:t>
            </w:r>
          </w:p>
        </w:tc>
        <w:tc>
          <w:tcPr>
            <w:tcW w:w="4512" w:type="dxa"/>
            <w:shd w:val="clear" w:color="auto" w:fill="auto"/>
          </w:tcPr>
          <w:p>
            <w:r>
              <w:rPr>
                <w:rFonts w:hint="eastAsia"/>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保障机关工作平稳运行</w:t>
            </w:r>
          </w:p>
        </w:tc>
        <w:tc>
          <w:tcPr>
            <w:tcW w:w="3544" w:type="dxa"/>
            <w:shd w:val="clear" w:color="auto" w:fill="auto"/>
          </w:tcPr>
          <w:p>
            <w:r>
              <w:rPr>
                <w:rFonts w:hint="eastAsia"/>
              </w:rPr>
              <w:t>保障机关各项工作平稳运行</w:t>
            </w:r>
          </w:p>
        </w:tc>
        <w:tc>
          <w:tcPr>
            <w:tcW w:w="1276" w:type="dxa"/>
            <w:shd w:val="clear" w:color="auto" w:fill="auto"/>
          </w:tcPr>
          <w:p>
            <w:r>
              <w:rPr>
                <w:rFonts w:hint="eastAsia"/>
              </w:rPr>
              <w:t>完成机关相关职能</w:t>
            </w:r>
          </w:p>
        </w:tc>
        <w:tc>
          <w:tcPr>
            <w:tcW w:w="4512" w:type="dxa"/>
            <w:shd w:val="clear" w:color="auto" w:fill="auto"/>
          </w:tcPr>
          <w:p>
            <w:r>
              <w:rPr>
                <w:rFonts w:hint="eastAsia"/>
              </w:rPr>
              <w:t>《中共三河市委办公室三河市人民政府办公室关于印发&lt;三河市住房和城乡建设局职能配置、内设机构和人员编制规定&gt;的通知》三办字【2019】26号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服务对象满意度指标</w:t>
            </w:r>
          </w:p>
        </w:tc>
        <w:tc>
          <w:tcPr>
            <w:tcW w:w="3544" w:type="dxa"/>
            <w:shd w:val="clear" w:color="auto" w:fill="auto"/>
          </w:tcPr>
          <w:p>
            <w:r>
              <w:rPr>
                <w:rFonts w:hint="eastAsia"/>
              </w:rPr>
              <w:t>工资发放人员满意度（%）</w:t>
            </w:r>
          </w:p>
        </w:tc>
        <w:tc>
          <w:tcPr>
            <w:tcW w:w="1276" w:type="dxa"/>
            <w:shd w:val="clear" w:color="auto" w:fill="auto"/>
          </w:tcPr>
          <w:p>
            <w:r>
              <w:rPr>
                <w:rFonts w:hint="eastAsia"/>
              </w:rPr>
              <w:t>≥90%</w:t>
            </w:r>
          </w:p>
        </w:tc>
        <w:tc>
          <w:tcPr>
            <w:tcW w:w="4512" w:type="dxa"/>
            <w:shd w:val="clear" w:color="auto" w:fill="auto"/>
          </w:tcPr>
          <w:p>
            <w:r>
              <w:rPr>
                <w:rFonts w:hint="eastAsia"/>
              </w:rPr>
              <w:t>满意度调查表</w:t>
            </w:r>
          </w:p>
        </w:tc>
      </w:tr>
    </w:tbl>
    <w:p>
      <w:pPr>
        <w:ind w:firstLine="560"/>
        <w:outlineLvl w:val="3"/>
      </w:pPr>
      <w:bookmarkStart w:id="12" w:name="_Toc_4_4_0000000015"/>
      <w:r>
        <w:rPr>
          <w:rFonts w:ascii="方正仿宋_GBK" w:hAnsi="方正仿宋_GBK" w:eastAsia="方正仿宋_GBK" w:cs="方正仿宋_GBK"/>
          <w:color w:val="000000"/>
          <w:sz w:val="28"/>
        </w:rPr>
        <w:t>12.古树名木复壮保护费绩效目标表</w:t>
      </w:r>
      <w:bookmarkEnd w:id="12"/>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通过项目的开展完成古树的保护和复壮工作，使我市古树名木资源得到有效保护。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古树名木数量</w:t>
            </w:r>
          </w:p>
        </w:tc>
        <w:tc>
          <w:tcPr>
            <w:tcW w:w="3544" w:type="dxa"/>
            <w:shd w:val="clear" w:color="auto" w:fill="auto"/>
          </w:tcPr>
          <w:p>
            <w:r>
              <w:rPr>
                <w:rFonts w:hint="eastAsia"/>
              </w:rPr>
              <w:t>古树名木数量</w:t>
            </w:r>
          </w:p>
        </w:tc>
        <w:tc>
          <w:tcPr>
            <w:tcW w:w="1276" w:type="dxa"/>
            <w:shd w:val="clear" w:color="auto" w:fill="auto"/>
          </w:tcPr>
          <w:p>
            <w:r>
              <w:rPr>
                <w:rFonts w:hint="eastAsia"/>
              </w:rPr>
              <w:t>≥10棵</w:t>
            </w:r>
          </w:p>
        </w:tc>
        <w:tc>
          <w:tcPr>
            <w:tcW w:w="4512" w:type="dxa"/>
            <w:shd w:val="clear" w:color="auto" w:fill="auto"/>
          </w:tcPr>
          <w:p>
            <w:r>
              <w:rPr>
                <w:rFonts w:hint="eastAsia"/>
              </w:rPr>
              <w:t>《古树名木养护管理与复壮技术规程》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古树的存活率</w:t>
            </w:r>
          </w:p>
        </w:tc>
        <w:tc>
          <w:tcPr>
            <w:tcW w:w="3544" w:type="dxa"/>
            <w:shd w:val="clear" w:color="auto" w:fill="auto"/>
          </w:tcPr>
          <w:p>
            <w:r>
              <w:rPr>
                <w:rFonts w:hint="eastAsia"/>
              </w:rPr>
              <w:t>古树存活并能正常生长的数量占总数量的比例</w:t>
            </w:r>
          </w:p>
        </w:tc>
        <w:tc>
          <w:tcPr>
            <w:tcW w:w="1276" w:type="dxa"/>
            <w:shd w:val="clear" w:color="auto" w:fill="auto"/>
          </w:tcPr>
          <w:p>
            <w:r>
              <w:rPr>
                <w:rFonts w:hint="eastAsia"/>
              </w:rPr>
              <w:t>100%</w:t>
            </w:r>
          </w:p>
        </w:tc>
        <w:tc>
          <w:tcPr>
            <w:tcW w:w="4512" w:type="dxa"/>
            <w:shd w:val="clear" w:color="auto" w:fill="auto"/>
          </w:tcPr>
          <w:p>
            <w:r>
              <w:rPr>
                <w:rFonts w:hint="eastAsia"/>
              </w:rPr>
              <w:t>《古树名木养护管理与复壮技术规程》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维护古树标志名牌完好及时率</w:t>
            </w:r>
          </w:p>
        </w:tc>
        <w:tc>
          <w:tcPr>
            <w:tcW w:w="3544" w:type="dxa"/>
            <w:shd w:val="clear" w:color="auto" w:fill="auto"/>
          </w:tcPr>
          <w:p>
            <w:r>
              <w:rPr>
                <w:rFonts w:hint="eastAsia"/>
              </w:rPr>
              <w:t>维护古树标志名牌完好及时率%</w:t>
            </w:r>
          </w:p>
        </w:tc>
        <w:tc>
          <w:tcPr>
            <w:tcW w:w="1276" w:type="dxa"/>
            <w:shd w:val="clear" w:color="auto" w:fill="auto"/>
          </w:tcPr>
          <w:p>
            <w:r>
              <w:rPr>
                <w:rFonts w:hint="eastAsia"/>
              </w:rPr>
              <w:t>≥98%</w:t>
            </w:r>
          </w:p>
        </w:tc>
        <w:tc>
          <w:tcPr>
            <w:tcW w:w="4512" w:type="dxa"/>
            <w:shd w:val="clear" w:color="auto" w:fill="auto"/>
          </w:tcPr>
          <w:p>
            <w:r>
              <w:rPr>
                <w:rFonts w:hint="eastAsia"/>
              </w:rPr>
              <w:t>《古树名木养护管理与复壮技术规程》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平均每棵古树名木日常养护的费用成本控制</w:t>
            </w:r>
          </w:p>
        </w:tc>
        <w:tc>
          <w:tcPr>
            <w:tcW w:w="3544" w:type="dxa"/>
            <w:shd w:val="clear" w:color="auto" w:fill="auto"/>
          </w:tcPr>
          <w:p>
            <w:r>
              <w:rPr>
                <w:rFonts w:hint="eastAsia"/>
              </w:rPr>
              <w:t>平均每棵古树名木日常养护的费用成本控制</w:t>
            </w:r>
          </w:p>
        </w:tc>
        <w:tc>
          <w:tcPr>
            <w:tcW w:w="1276" w:type="dxa"/>
            <w:shd w:val="clear" w:color="auto" w:fill="auto"/>
          </w:tcPr>
          <w:p>
            <w:r>
              <w:rPr>
                <w:rFonts w:hint="eastAsia"/>
              </w:rPr>
              <w:t>≤1万元/棵</w:t>
            </w:r>
          </w:p>
        </w:tc>
        <w:tc>
          <w:tcPr>
            <w:tcW w:w="4512" w:type="dxa"/>
            <w:shd w:val="clear" w:color="auto" w:fill="auto"/>
          </w:tcPr>
          <w:p>
            <w:r>
              <w:rPr>
                <w:rFonts w:hint="eastAsia"/>
              </w:rPr>
              <w:t>《古树名木养护管理与复壮技术规程》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病虫害防治率</w:t>
            </w:r>
          </w:p>
        </w:tc>
        <w:tc>
          <w:tcPr>
            <w:tcW w:w="3544" w:type="dxa"/>
            <w:shd w:val="clear" w:color="auto" w:fill="auto"/>
          </w:tcPr>
          <w:p>
            <w:r>
              <w:rPr>
                <w:rFonts w:hint="eastAsia"/>
              </w:rPr>
              <w:t>通过虫病联防联治手段对病虫害进行防治的比例</w:t>
            </w:r>
          </w:p>
        </w:tc>
        <w:tc>
          <w:tcPr>
            <w:tcW w:w="1276" w:type="dxa"/>
            <w:shd w:val="clear" w:color="auto" w:fill="auto"/>
          </w:tcPr>
          <w:p>
            <w:r>
              <w:rPr>
                <w:rFonts w:hint="eastAsia"/>
              </w:rPr>
              <w:t>100%</w:t>
            </w:r>
          </w:p>
        </w:tc>
        <w:tc>
          <w:tcPr>
            <w:tcW w:w="4512" w:type="dxa"/>
            <w:shd w:val="clear" w:color="auto" w:fill="auto"/>
          </w:tcPr>
          <w:p>
            <w:r>
              <w:rPr>
                <w:rFonts w:hint="eastAsia"/>
              </w:rPr>
              <w:t>《古树名木养护管理与复壮技术规程》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生态效益指标</w:t>
            </w:r>
          </w:p>
        </w:tc>
        <w:tc>
          <w:tcPr>
            <w:tcW w:w="1843" w:type="dxa"/>
            <w:shd w:val="clear" w:color="auto" w:fill="auto"/>
          </w:tcPr>
          <w:p>
            <w:r>
              <w:rPr>
                <w:rFonts w:hint="eastAsia"/>
              </w:rPr>
              <w:t>空气质量</w:t>
            </w:r>
          </w:p>
        </w:tc>
        <w:tc>
          <w:tcPr>
            <w:tcW w:w="3544" w:type="dxa"/>
            <w:shd w:val="clear" w:color="auto" w:fill="auto"/>
          </w:tcPr>
          <w:p>
            <w:r>
              <w:rPr>
                <w:rFonts w:hint="eastAsia"/>
              </w:rPr>
              <w:t>改善空气质量</w:t>
            </w:r>
          </w:p>
        </w:tc>
        <w:tc>
          <w:tcPr>
            <w:tcW w:w="1276" w:type="dxa"/>
            <w:shd w:val="clear" w:color="auto" w:fill="auto"/>
          </w:tcPr>
          <w:p>
            <w:r>
              <w:rPr>
                <w:rFonts w:hint="eastAsia"/>
              </w:rPr>
              <w:t>≥365天</w:t>
            </w:r>
          </w:p>
        </w:tc>
        <w:tc>
          <w:tcPr>
            <w:tcW w:w="4512" w:type="dxa"/>
            <w:shd w:val="clear" w:color="auto" w:fill="auto"/>
          </w:tcPr>
          <w:p>
            <w:r>
              <w:rPr>
                <w:rFonts w:hint="eastAsia"/>
              </w:rPr>
              <w:t>管护合同</w:t>
            </w:r>
          </w:p>
        </w:tc>
      </w:tr>
    </w:tbl>
    <w:p>
      <w:pPr>
        <w:ind w:firstLine="560"/>
        <w:outlineLvl w:val="3"/>
      </w:pPr>
      <w:bookmarkStart w:id="13" w:name="_Toc_4_4_0000000016"/>
      <w:r>
        <w:rPr>
          <w:rFonts w:ascii="方正仿宋_GBK" w:hAnsi="方正仿宋_GBK" w:eastAsia="方正仿宋_GBK" w:cs="方正仿宋_GBK"/>
          <w:color w:val="000000"/>
          <w:sz w:val="28"/>
        </w:rPr>
        <w:t>13.广场、公园及道路绿地维护费绩效目标表</w:t>
      </w:r>
      <w:bookmarkEnd w:id="13"/>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通过对市区绿地内的乔灌花草的管护工作以及相关设施的维修保养工作，保证园林绿地景观效果。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日常养护频率（天）</w:t>
            </w:r>
          </w:p>
        </w:tc>
        <w:tc>
          <w:tcPr>
            <w:tcW w:w="3544" w:type="dxa"/>
            <w:shd w:val="clear" w:color="auto" w:fill="auto"/>
          </w:tcPr>
          <w:p>
            <w:r>
              <w:rPr>
                <w:rFonts w:hint="eastAsia"/>
              </w:rPr>
              <w:t>当年实际日常管护频率</w:t>
            </w:r>
          </w:p>
        </w:tc>
        <w:tc>
          <w:tcPr>
            <w:tcW w:w="1276" w:type="dxa"/>
            <w:shd w:val="clear" w:color="auto" w:fill="auto"/>
          </w:tcPr>
          <w:p>
            <w:r>
              <w:rPr>
                <w:rFonts w:hint="eastAsia"/>
              </w:rPr>
              <w:t>≥200天</w:t>
            </w:r>
          </w:p>
        </w:tc>
        <w:tc>
          <w:tcPr>
            <w:tcW w:w="4512" w:type="dxa"/>
            <w:shd w:val="clear" w:color="auto" w:fill="auto"/>
          </w:tcPr>
          <w:p>
            <w:r>
              <w:rPr>
                <w:rFonts w:hint="eastAsia"/>
              </w:rPr>
              <w:t>《河北省城市绿地养护与水体景观管理技术导则》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管理园林设施的完好率</w:t>
            </w:r>
          </w:p>
        </w:tc>
        <w:tc>
          <w:tcPr>
            <w:tcW w:w="3544" w:type="dxa"/>
            <w:shd w:val="clear" w:color="auto" w:fill="auto"/>
          </w:tcPr>
          <w:p>
            <w:r>
              <w:rPr>
                <w:rFonts w:hint="eastAsia"/>
              </w:rPr>
              <w:t>外观良好且能够正常使用的数量占总数量的比例</w:t>
            </w:r>
          </w:p>
        </w:tc>
        <w:tc>
          <w:tcPr>
            <w:tcW w:w="1276" w:type="dxa"/>
            <w:shd w:val="clear" w:color="auto" w:fill="auto"/>
          </w:tcPr>
          <w:p>
            <w:r>
              <w:rPr>
                <w:rFonts w:hint="eastAsia"/>
              </w:rPr>
              <w:t>≥98%</w:t>
            </w:r>
          </w:p>
        </w:tc>
        <w:tc>
          <w:tcPr>
            <w:tcW w:w="4512" w:type="dxa"/>
            <w:shd w:val="clear" w:color="auto" w:fill="auto"/>
          </w:tcPr>
          <w:p>
            <w:r>
              <w:rPr>
                <w:rFonts w:hint="eastAsia"/>
              </w:rPr>
              <w:t>《河北省城市绿地养护与水体景观管理技术导则》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日常巡查及时率（%）</w:t>
            </w:r>
          </w:p>
        </w:tc>
        <w:tc>
          <w:tcPr>
            <w:tcW w:w="3544" w:type="dxa"/>
            <w:shd w:val="clear" w:color="auto" w:fill="auto"/>
          </w:tcPr>
          <w:p>
            <w:r>
              <w:rPr>
                <w:rFonts w:hint="eastAsia"/>
              </w:rPr>
              <w:t>日常巡查及时的比率</w:t>
            </w:r>
          </w:p>
        </w:tc>
        <w:tc>
          <w:tcPr>
            <w:tcW w:w="1276" w:type="dxa"/>
            <w:shd w:val="clear" w:color="auto" w:fill="auto"/>
          </w:tcPr>
          <w:p>
            <w:r>
              <w:rPr>
                <w:rFonts w:hint="eastAsia"/>
              </w:rPr>
              <w:t>100%</w:t>
            </w:r>
          </w:p>
        </w:tc>
        <w:tc>
          <w:tcPr>
            <w:tcW w:w="4512" w:type="dxa"/>
            <w:shd w:val="clear" w:color="auto" w:fill="auto"/>
          </w:tcPr>
          <w:p>
            <w:r>
              <w:rPr>
                <w:rFonts w:hint="eastAsia"/>
              </w:rPr>
              <w:t>《河北省城市绿地养护与水体景观管理技术导则》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园林废弃物处理费用控制</w:t>
            </w:r>
          </w:p>
        </w:tc>
        <w:tc>
          <w:tcPr>
            <w:tcW w:w="3544" w:type="dxa"/>
            <w:shd w:val="clear" w:color="auto" w:fill="auto"/>
          </w:tcPr>
          <w:p>
            <w:r>
              <w:rPr>
                <w:rFonts w:hint="eastAsia"/>
              </w:rPr>
              <w:t>控制园林废弃物处理费用的全年成本</w:t>
            </w:r>
          </w:p>
        </w:tc>
        <w:tc>
          <w:tcPr>
            <w:tcW w:w="1276" w:type="dxa"/>
            <w:shd w:val="clear" w:color="auto" w:fill="auto"/>
          </w:tcPr>
          <w:p>
            <w:r>
              <w:rPr>
                <w:rFonts w:hint="eastAsia"/>
              </w:rPr>
              <w:t>≤64万元</w:t>
            </w:r>
          </w:p>
        </w:tc>
        <w:tc>
          <w:tcPr>
            <w:tcW w:w="4512" w:type="dxa"/>
            <w:shd w:val="clear" w:color="auto" w:fill="auto"/>
          </w:tcPr>
          <w:p>
            <w:r>
              <w:rPr>
                <w:rFonts w:hint="eastAsia"/>
              </w:rPr>
              <w:t>《河北省城市绿地养护与水体景观管理技术导则》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良好的绿化覆盖效果提升情况</w:t>
            </w:r>
          </w:p>
        </w:tc>
        <w:tc>
          <w:tcPr>
            <w:tcW w:w="3544" w:type="dxa"/>
            <w:shd w:val="clear" w:color="auto" w:fill="auto"/>
          </w:tcPr>
          <w:p>
            <w:r>
              <w:rPr>
                <w:rFonts w:hint="eastAsia"/>
              </w:rPr>
              <w:t>绿地实现良好的绿化覆盖效果提升情况</w:t>
            </w:r>
          </w:p>
        </w:tc>
        <w:tc>
          <w:tcPr>
            <w:tcW w:w="1276" w:type="dxa"/>
            <w:shd w:val="clear" w:color="auto" w:fill="auto"/>
          </w:tcPr>
          <w:p>
            <w:r>
              <w:rPr>
                <w:rFonts w:hint="eastAsia"/>
              </w:rPr>
              <w:t>有所提升</w:t>
            </w:r>
          </w:p>
        </w:tc>
        <w:tc>
          <w:tcPr>
            <w:tcW w:w="4512" w:type="dxa"/>
            <w:shd w:val="clear" w:color="auto" w:fill="auto"/>
          </w:tcPr>
          <w:p>
            <w:r>
              <w:rPr>
                <w:rFonts w:hint="eastAsia"/>
              </w:rPr>
              <w:t>《河北省城市绿地养护与水体景观管理技术导则》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市民对本市绿地景观效果的满意率</w:t>
            </w:r>
          </w:p>
        </w:tc>
        <w:tc>
          <w:tcPr>
            <w:tcW w:w="3544" w:type="dxa"/>
            <w:shd w:val="clear" w:color="auto" w:fill="auto"/>
          </w:tcPr>
          <w:p>
            <w:r>
              <w:rPr>
                <w:rFonts w:hint="eastAsia"/>
              </w:rPr>
              <w:t>满意与基本满意的总人数与调查总人数的比例</w:t>
            </w:r>
          </w:p>
        </w:tc>
        <w:tc>
          <w:tcPr>
            <w:tcW w:w="1276" w:type="dxa"/>
            <w:shd w:val="clear" w:color="auto" w:fill="auto"/>
          </w:tcPr>
          <w:p>
            <w:r>
              <w:rPr>
                <w:rFonts w:hint="eastAsia"/>
              </w:rPr>
              <w:t>≥90%</w:t>
            </w:r>
          </w:p>
        </w:tc>
        <w:tc>
          <w:tcPr>
            <w:tcW w:w="4512" w:type="dxa"/>
            <w:shd w:val="clear" w:color="auto" w:fill="auto"/>
          </w:tcPr>
          <w:p>
            <w:r>
              <w:rPr>
                <w:rFonts w:hint="eastAsia"/>
              </w:rPr>
              <w:t>满意度调查表</w:t>
            </w:r>
          </w:p>
        </w:tc>
      </w:tr>
    </w:tbl>
    <w:p>
      <w:pPr>
        <w:ind w:firstLine="560"/>
        <w:outlineLvl w:val="3"/>
      </w:pPr>
      <w:bookmarkStart w:id="14" w:name="_Toc_4_4_0000000017"/>
      <w:r>
        <w:rPr>
          <w:rFonts w:ascii="方正仿宋_GBK" w:hAnsi="方正仿宋_GBK" w:eastAsia="方正仿宋_GBK" w:cs="方正仿宋_GBK"/>
          <w:color w:val="000000"/>
          <w:sz w:val="28"/>
        </w:rPr>
        <w:t>14.广场、公园及道路绿地维护费（园林）（预发绩效工资）绩效目标表</w:t>
      </w:r>
      <w:bookmarkEnd w:id="14"/>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通过工作开展，保障相关工作正常运行。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实际发放人数</w:t>
            </w:r>
          </w:p>
        </w:tc>
        <w:tc>
          <w:tcPr>
            <w:tcW w:w="3544" w:type="dxa"/>
            <w:shd w:val="clear" w:color="auto" w:fill="auto"/>
          </w:tcPr>
          <w:p>
            <w:r>
              <w:rPr>
                <w:rFonts w:hint="eastAsia"/>
              </w:rPr>
              <w:t>实际发放的在职人员人数</w:t>
            </w:r>
          </w:p>
        </w:tc>
        <w:tc>
          <w:tcPr>
            <w:tcW w:w="1276" w:type="dxa"/>
            <w:shd w:val="clear" w:color="auto" w:fill="auto"/>
          </w:tcPr>
          <w:p>
            <w:r>
              <w:rPr>
                <w:rFonts w:hint="eastAsia"/>
              </w:rPr>
              <w:t>40人</w:t>
            </w:r>
          </w:p>
        </w:tc>
        <w:tc>
          <w:tcPr>
            <w:tcW w:w="4512" w:type="dxa"/>
            <w:shd w:val="clear" w:color="auto" w:fill="auto"/>
          </w:tcPr>
          <w:p>
            <w:r>
              <w:rPr>
                <w:rFonts w:hint="eastAsia"/>
              </w:rPr>
              <w:t>《关于预发2021年绩效奖金的请示》督查室【2022】57号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根据工资发放标准足额发放人员工资的比率</w:t>
            </w:r>
          </w:p>
        </w:tc>
        <w:tc>
          <w:tcPr>
            <w:tcW w:w="3544" w:type="dxa"/>
            <w:shd w:val="clear" w:color="auto" w:fill="auto"/>
          </w:tcPr>
          <w:p>
            <w:r>
              <w:rPr>
                <w:rFonts w:hint="eastAsia"/>
              </w:rPr>
              <w:t>实发工资金额占应发工资金额的比率</w:t>
            </w:r>
          </w:p>
        </w:tc>
        <w:tc>
          <w:tcPr>
            <w:tcW w:w="1276" w:type="dxa"/>
            <w:shd w:val="clear" w:color="auto" w:fill="auto"/>
          </w:tcPr>
          <w:p>
            <w:r>
              <w:rPr>
                <w:rFonts w:hint="eastAsia"/>
              </w:rPr>
              <w:t>100%</w:t>
            </w:r>
          </w:p>
        </w:tc>
        <w:tc>
          <w:tcPr>
            <w:tcW w:w="4512" w:type="dxa"/>
            <w:shd w:val="clear" w:color="auto" w:fill="auto"/>
          </w:tcPr>
          <w:p>
            <w:r>
              <w:rPr>
                <w:rFonts w:hint="eastAsia"/>
              </w:rPr>
              <w:t>《关于预发2021年绩效奖金的请示》督查室【2022】57号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按时发放工资</w:t>
            </w:r>
          </w:p>
        </w:tc>
        <w:tc>
          <w:tcPr>
            <w:tcW w:w="3544" w:type="dxa"/>
            <w:shd w:val="clear" w:color="auto" w:fill="auto"/>
          </w:tcPr>
          <w:p>
            <w:r>
              <w:rPr>
                <w:rFonts w:hint="eastAsia"/>
              </w:rPr>
              <w:t>次月初发放劳务人员工资</w:t>
            </w:r>
          </w:p>
        </w:tc>
        <w:tc>
          <w:tcPr>
            <w:tcW w:w="1276" w:type="dxa"/>
            <w:shd w:val="clear" w:color="auto" w:fill="auto"/>
          </w:tcPr>
          <w:p>
            <w:r>
              <w:rPr>
                <w:rFonts w:hint="eastAsia"/>
              </w:rPr>
              <w:t>12月</w:t>
            </w:r>
          </w:p>
        </w:tc>
        <w:tc>
          <w:tcPr>
            <w:tcW w:w="4512" w:type="dxa"/>
            <w:shd w:val="clear" w:color="auto" w:fill="auto"/>
          </w:tcPr>
          <w:p>
            <w:r>
              <w:rPr>
                <w:rFonts w:hint="eastAsia"/>
              </w:rPr>
              <w:t>《关于预发2021年绩效奖金的请示》督查室【2022】57号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单位成本控制</w:t>
            </w:r>
          </w:p>
        </w:tc>
        <w:tc>
          <w:tcPr>
            <w:tcW w:w="3544" w:type="dxa"/>
            <w:shd w:val="clear" w:color="auto" w:fill="auto"/>
          </w:tcPr>
          <w:p>
            <w:r>
              <w:rPr>
                <w:rFonts w:hint="eastAsia"/>
              </w:rPr>
              <w:t>平均每人发放金额</w:t>
            </w:r>
          </w:p>
        </w:tc>
        <w:tc>
          <w:tcPr>
            <w:tcW w:w="1276" w:type="dxa"/>
            <w:shd w:val="clear" w:color="auto" w:fill="auto"/>
          </w:tcPr>
          <w:p>
            <w:r>
              <w:rPr>
                <w:rFonts w:hint="eastAsia"/>
              </w:rPr>
              <w:t>&lt;0.22万元/人</w:t>
            </w:r>
          </w:p>
        </w:tc>
        <w:tc>
          <w:tcPr>
            <w:tcW w:w="4512" w:type="dxa"/>
            <w:shd w:val="clear" w:color="auto" w:fill="auto"/>
          </w:tcPr>
          <w:p>
            <w:r>
              <w:rPr>
                <w:rFonts w:hint="eastAsia"/>
              </w:rPr>
              <w:t>《关于预发2021年绩效奖金的请示》督查室【2022】57号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保障机关工作平稳运行</w:t>
            </w:r>
          </w:p>
        </w:tc>
        <w:tc>
          <w:tcPr>
            <w:tcW w:w="3544" w:type="dxa"/>
            <w:shd w:val="clear" w:color="auto" w:fill="auto"/>
          </w:tcPr>
          <w:p>
            <w:r>
              <w:rPr>
                <w:rFonts w:hint="eastAsia"/>
              </w:rPr>
              <w:t>保障机关各项工作平稳运行</w:t>
            </w:r>
          </w:p>
        </w:tc>
        <w:tc>
          <w:tcPr>
            <w:tcW w:w="1276" w:type="dxa"/>
            <w:shd w:val="clear" w:color="auto" w:fill="auto"/>
          </w:tcPr>
          <w:p>
            <w:r>
              <w:rPr>
                <w:rFonts w:hint="eastAsia"/>
              </w:rPr>
              <w:t>完成机关相关职能</w:t>
            </w:r>
          </w:p>
        </w:tc>
        <w:tc>
          <w:tcPr>
            <w:tcW w:w="4512" w:type="dxa"/>
            <w:shd w:val="clear" w:color="auto" w:fill="auto"/>
          </w:tcPr>
          <w:p>
            <w:r>
              <w:rPr>
                <w:rFonts w:hint="eastAsia"/>
              </w:rPr>
              <w:t>《中共三河市委办公室三河市人民政府办公室关于印发&lt;三河市住房和城乡建设局职能配置、内设机构和人员编制规定&gt;的通知》三办字【2019】26号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服务对象满意度指标</w:t>
            </w:r>
          </w:p>
        </w:tc>
        <w:tc>
          <w:tcPr>
            <w:tcW w:w="3544" w:type="dxa"/>
            <w:shd w:val="clear" w:color="auto" w:fill="auto"/>
          </w:tcPr>
          <w:p>
            <w:r>
              <w:rPr>
                <w:rFonts w:hint="eastAsia"/>
              </w:rPr>
              <w:t>工资发放人员满意度（%）</w:t>
            </w:r>
          </w:p>
        </w:tc>
        <w:tc>
          <w:tcPr>
            <w:tcW w:w="1276" w:type="dxa"/>
            <w:shd w:val="clear" w:color="auto" w:fill="auto"/>
          </w:tcPr>
          <w:p>
            <w:r>
              <w:rPr>
                <w:rFonts w:hint="eastAsia"/>
              </w:rPr>
              <w:t>≥95%</w:t>
            </w:r>
          </w:p>
        </w:tc>
        <w:tc>
          <w:tcPr>
            <w:tcW w:w="4512" w:type="dxa"/>
            <w:shd w:val="clear" w:color="auto" w:fill="auto"/>
          </w:tcPr>
          <w:p>
            <w:r>
              <w:rPr>
                <w:rFonts w:hint="eastAsia"/>
              </w:rPr>
              <w:t>满意度调查表</w:t>
            </w:r>
          </w:p>
        </w:tc>
      </w:tr>
    </w:tbl>
    <w:p>
      <w:pPr>
        <w:ind w:firstLine="560"/>
        <w:outlineLvl w:val="3"/>
      </w:pPr>
      <w:bookmarkStart w:id="15" w:name="_Toc_4_4_0000000018"/>
      <w:r>
        <w:rPr>
          <w:rFonts w:ascii="方正仿宋_GBK" w:hAnsi="方正仿宋_GBK" w:eastAsia="方正仿宋_GBK" w:cs="方正仿宋_GBK"/>
          <w:color w:val="000000"/>
          <w:sz w:val="28"/>
        </w:rPr>
        <w:t>15.机关综合管理业务费绩效目标表</w:t>
      </w:r>
      <w:bookmarkEnd w:id="15"/>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通过提高档案利用价值、妥善处理信访事件以及局机关基础设施及环境安保等方面的管理，保障机关正常高效运转。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保安服务人数</w:t>
            </w:r>
          </w:p>
        </w:tc>
        <w:tc>
          <w:tcPr>
            <w:tcW w:w="3544" w:type="dxa"/>
            <w:shd w:val="clear" w:color="auto" w:fill="auto"/>
          </w:tcPr>
          <w:p>
            <w:r>
              <w:rPr>
                <w:rFonts w:hint="eastAsia"/>
              </w:rPr>
              <w:t>保安服务人数</w:t>
            </w:r>
          </w:p>
        </w:tc>
        <w:tc>
          <w:tcPr>
            <w:tcW w:w="1276" w:type="dxa"/>
            <w:shd w:val="clear" w:color="auto" w:fill="auto"/>
          </w:tcPr>
          <w:p>
            <w:r>
              <w:rPr>
                <w:rFonts w:hint="eastAsia"/>
              </w:rPr>
              <w:t>4人</w:t>
            </w:r>
          </w:p>
        </w:tc>
        <w:tc>
          <w:tcPr>
            <w:tcW w:w="4512" w:type="dxa"/>
            <w:shd w:val="clear" w:color="auto" w:fill="auto"/>
          </w:tcPr>
          <w:p>
            <w:r>
              <w:rPr>
                <w:rFonts w:hint="eastAsia"/>
              </w:rPr>
              <w:t>保安服务合同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数量指标</w:t>
            </w:r>
          </w:p>
        </w:tc>
        <w:tc>
          <w:tcPr>
            <w:tcW w:w="1843" w:type="dxa"/>
            <w:shd w:val="clear" w:color="auto" w:fill="auto"/>
          </w:tcPr>
          <w:p>
            <w:r>
              <w:rPr>
                <w:rFonts w:hint="eastAsia"/>
              </w:rPr>
              <w:t>法律咨询案件数量</w:t>
            </w:r>
          </w:p>
        </w:tc>
        <w:tc>
          <w:tcPr>
            <w:tcW w:w="3544" w:type="dxa"/>
            <w:shd w:val="clear" w:color="auto" w:fill="auto"/>
          </w:tcPr>
          <w:p>
            <w:r>
              <w:rPr>
                <w:rFonts w:hint="eastAsia"/>
              </w:rPr>
              <w:t>法律咨询案件数量</w:t>
            </w:r>
          </w:p>
        </w:tc>
        <w:tc>
          <w:tcPr>
            <w:tcW w:w="1276" w:type="dxa"/>
            <w:shd w:val="clear" w:color="auto" w:fill="auto"/>
          </w:tcPr>
          <w:p>
            <w:r>
              <w:rPr>
                <w:rFonts w:hint="eastAsia"/>
              </w:rPr>
              <w:t>&gt;10件</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每笔诉讼案件成本</w:t>
            </w:r>
          </w:p>
        </w:tc>
        <w:tc>
          <w:tcPr>
            <w:tcW w:w="3544" w:type="dxa"/>
            <w:shd w:val="clear" w:color="auto" w:fill="auto"/>
          </w:tcPr>
          <w:p>
            <w:r>
              <w:rPr>
                <w:rFonts w:hint="eastAsia"/>
              </w:rPr>
              <w:t>每笔诉讼案件成本</w:t>
            </w:r>
          </w:p>
        </w:tc>
        <w:tc>
          <w:tcPr>
            <w:tcW w:w="1276" w:type="dxa"/>
            <w:shd w:val="clear" w:color="auto" w:fill="auto"/>
          </w:tcPr>
          <w:p>
            <w:r>
              <w:rPr>
                <w:rFonts w:hint="eastAsia"/>
              </w:rPr>
              <w:t>&lt;6万元</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时效指标</w:t>
            </w:r>
          </w:p>
        </w:tc>
        <w:tc>
          <w:tcPr>
            <w:tcW w:w="1843" w:type="dxa"/>
            <w:shd w:val="clear" w:color="auto" w:fill="auto"/>
          </w:tcPr>
          <w:p>
            <w:r>
              <w:rPr>
                <w:rFonts w:hint="eastAsia"/>
              </w:rPr>
              <w:t>基础设施维护及时率（%）</w:t>
            </w:r>
          </w:p>
        </w:tc>
        <w:tc>
          <w:tcPr>
            <w:tcW w:w="3544" w:type="dxa"/>
            <w:shd w:val="clear" w:color="auto" w:fill="auto"/>
          </w:tcPr>
          <w:p>
            <w:r>
              <w:rPr>
                <w:rFonts w:hint="eastAsia"/>
              </w:rPr>
              <w:t>及时维护基础设施的比率</w:t>
            </w:r>
          </w:p>
        </w:tc>
        <w:tc>
          <w:tcPr>
            <w:tcW w:w="1276" w:type="dxa"/>
            <w:shd w:val="clear" w:color="auto" w:fill="auto"/>
          </w:tcPr>
          <w:p>
            <w:r>
              <w:rPr>
                <w:rFonts w:hint="eastAsia"/>
              </w:rPr>
              <w:t>100%</w:t>
            </w:r>
          </w:p>
        </w:tc>
        <w:tc>
          <w:tcPr>
            <w:tcW w:w="4512" w:type="dxa"/>
            <w:shd w:val="clear" w:color="auto" w:fill="auto"/>
          </w:tcPr>
          <w:p>
            <w:r>
              <w:rPr>
                <w:rFonts w:hint="eastAsia"/>
              </w:rPr>
              <w:t>维修维护登记表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成本指标</w:t>
            </w:r>
          </w:p>
        </w:tc>
        <w:tc>
          <w:tcPr>
            <w:tcW w:w="1843" w:type="dxa"/>
            <w:shd w:val="clear" w:color="auto" w:fill="auto"/>
          </w:tcPr>
          <w:p>
            <w:r>
              <w:rPr>
                <w:rFonts w:hint="eastAsia"/>
              </w:rPr>
              <w:t>安保服务费用</w:t>
            </w:r>
          </w:p>
        </w:tc>
        <w:tc>
          <w:tcPr>
            <w:tcW w:w="3544" w:type="dxa"/>
            <w:shd w:val="clear" w:color="auto" w:fill="auto"/>
          </w:tcPr>
          <w:p>
            <w:r>
              <w:rPr>
                <w:rFonts w:hint="eastAsia"/>
              </w:rPr>
              <w:t>全年安保服务费用金额</w:t>
            </w:r>
          </w:p>
        </w:tc>
        <w:tc>
          <w:tcPr>
            <w:tcW w:w="1276" w:type="dxa"/>
            <w:shd w:val="clear" w:color="auto" w:fill="auto"/>
          </w:tcPr>
          <w:p>
            <w:r>
              <w:rPr>
                <w:rFonts w:hint="eastAsia"/>
              </w:rPr>
              <w:t>≤20.16万元</w:t>
            </w:r>
          </w:p>
        </w:tc>
        <w:tc>
          <w:tcPr>
            <w:tcW w:w="4512" w:type="dxa"/>
            <w:shd w:val="clear" w:color="auto" w:fill="auto"/>
          </w:tcPr>
          <w:p>
            <w:r>
              <w:rPr>
                <w:rFonts w:hint="eastAsia"/>
              </w:rPr>
              <w:t>保安服务合同</w:t>
            </w:r>
          </w:p>
        </w:tc>
      </w:tr>
    </w:tbl>
    <w:p>
      <w:pPr>
        <w:ind w:firstLine="560"/>
        <w:outlineLvl w:val="3"/>
      </w:pPr>
      <w:bookmarkStart w:id="16" w:name="_Toc_4_4_0000000019"/>
      <w:r>
        <w:rPr>
          <w:rFonts w:ascii="方正仿宋_GBK" w:hAnsi="方正仿宋_GBK" w:eastAsia="方正仿宋_GBK" w:cs="方正仿宋_GBK"/>
          <w:color w:val="000000"/>
          <w:sz w:val="28"/>
        </w:rPr>
        <w:t>16.建立和完善房屋网签备案系统经费绩效目标表</w:t>
      </w:r>
      <w:bookmarkEnd w:id="16"/>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在城市规划区国有土地范围内开展房屋转让、租赁和抵押等交易活动，实行房屋网签备案，实现新建商品房和存量房买卖合同、房屋租赁合同、房屋抵押合同网签备案全覆盖。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系统开发、升级数量（个）</w:t>
            </w:r>
          </w:p>
        </w:tc>
        <w:tc>
          <w:tcPr>
            <w:tcW w:w="3544" w:type="dxa"/>
            <w:shd w:val="clear" w:color="auto" w:fill="auto"/>
          </w:tcPr>
          <w:p>
            <w:r>
              <w:rPr>
                <w:rFonts w:hint="eastAsia"/>
              </w:rPr>
              <w:t>当年开发、升级的系统数量</w:t>
            </w:r>
          </w:p>
        </w:tc>
        <w:tc>
          <w:tcPr>
            <w:tcW w:w="1276" w:type="dxa"/>
            <w:shd w:val="clear" w:color="auto" w:fill="auto"/>
          </w:tcPr>
          <w:p>
            <w:r>
              <w:rPr>
                <w:rFonts w:hint="eastAsia"/>
              </w:rPr>
              <w:t>≤10个</w:t>
            </w:r>
          </w:p>
        </w:tc>
        <w:tc>
          <w:tcPr>
            <w:tcW w:w="4512" w:type="dxa"/>
            <w:shd w:val="clear" w:color="auto" w:fill="auto"/>
          </w:tcPr>
          <w:p>
            <w:r>
              <w:rPr>
                <w:rFonts w:hint="eastAsia"/>
              </w:rPr>
              <w:t>《政府采购服务合同》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政府采购率（%）</w:t>
            </w:r>
          </w:p>
        </w:tc>
        <w:tc>
          <w:tcPr>
            <w:tcW w:w="3544" w:type="dxa"/>
            <w:shd w:val="clear" w:color="auto" w:fill="auto"/>
          </w:tcPr>
          <w:p>
            <w:r>
              <w:rPr>
                <w:rFonts w:hint="eastAsia"/>
              </w:rPr>
              <w:t>实行政府采购的采购数量占采购总数量的比率</w:t>
            </w:r>
          </w:p>
        </w:tc>
        <w:tc>
          <w:tcPr>
            <w:tcW w:w="1276" w:type="dxa"/>
            <w:shd w:val="clear" w:color="auto" w:fill="auto"/>
          </w:tcPr>
          <w:p>
            <w:r>
              <w:rPr>
                <w:rFonts w:hint="eastAsia"/>
              </w:rPr>
              <w:t>100%</w:t>
            </w:r>
          </w:p>
        </w:tc>
        <w:tc>
          <w:tcPr>
            <w:tcW w:w="4512" w:type="dxa"/>
            <w:shd w:val="clear" w:color="auto" w:fill="auto"/>
          </w:tcPr>
          <w:p>
            <w:r>
              <w:rPr>
                <w:rFonts w:hint="eastAsia"/>
              </w:rPr>
              <w:t>《政府采购服务合同》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工程验收完成率（%）</w:t>
            </w:r>
          </w:p>
        </w:tc>
        <w:tc>
          <w:tcPr>
            <w:tcW w:w="3544" w:type="dxa"/>
            <w:shd w:val="clear" w:color="auto" w:fill="auto"/>
          </w:tcPr>
          <w:p>
            <w:r>
              <w:rPr>
                <w:rFonts w:hint="eastAsia"/>
              </w:rPr>
              <w:t>通过验收的工程量占维护养护总量的比率</w:t>
            </w:r>
          </w:p>
        </w:tc>
        <w:tc>
          <w:tcPr>
            <w:tcW w:w="1276" w:type="dxa"/>
            <w:shd w:val="clear" w:color="auto" w:fill="auto"/>
          </w:tcPr>
          <w:p>
            <w:r>
              <w:rPr>
                <w:rFonts w:hint="eastAsia"/>
              </w:rPr>
              <w:t>100%</w:t>
            </w:r>
          </w:p>
        </w:tc>
        <w:tc>
          <w:tcPr>
            <w:tcW w:w="4512" w:type="dxa"/>
            <w:shd w:val="clear" w:color="auto" w:fill="auto"/>
          </w:tcPr>
          <w:p>
            <w:r>
              <w:rPr>
                <w:rFonts w:hint="eastAsia"/>
              </w:rPr>
              <w:t>合同，结算单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每项系统更新升级的平均成本控制</w:t>
            </w:r>
          </w:p>
        </w:tc>
        <w:tc>
          <w:tcPr>
            <w:tcW w:w="3544" w:type="dxa"/>
            <w:shd w:val="clear" w:color="auto" w:fill="auto"/>
          </w:tcPr>
          <w:p>
            <w:r>
              <w:rPr>
                <w:rFonts w:hint="eastAsia"/>
              </w:rPr>
              <w:t>每项系统更新升级的平均成本控制</w:t>
            </w:r>
          </w:p>
        </w:tc>
        <w:tc>
          <w:tcPr>
            <w:tcW w:w="1276" w:type="dxa"/>
            <w:shd w:val="clear" w:color="auto" w:fill="auto"/>
          </w:tcPr>
          <w:p>
            <w:r>
              <w:rPr>
                <w:rFonts w:hint="eastAsia"/>
              </w:rPr>
              <w:t>≤16.9万元/项</w:t>
            </w:r>
          </w:p>
        </w:tc>
        <w:tc>
          <w:tcPr>
            <w:tcW w:w="4512" w:type="dxa"/>
            <w:shd w:val="clear" w:color="auto" w:fill="auto"/>
          </w:tcPr>
          <w:p>
            <w:r>
              <w:rPr>
                <w:rFonts w:hint="eastAsia"/>
              </w:rPr>
              <w:t>《政府采购服务合同》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对房地产市场健康发展的改善情况</w:t>
            </w:r>
          </w:p>
        </w:tc>
        <w:tc>
          <w:tcPr>
            <w:tcW w:w="3544" w:type="dxa"/>
            <w:shd w:val="clear" w:color="auto" w:fill="auto"/>
          </w:tcPr>
          <w:p>
            <w:r>
              <w:rPr>
                <w:rFonts w:hint="eastAsia"/>
              </w:rPr>
              <w:t>通项目开展，对房地产市场健康发展的改善情况</w:t>
            </w:r>
          </w:p>
        </w:tc>
        <w:tc>
          <w:tcPr>
            <w:tcW w:w="1276" w:type="dxa"/>
            <w:shd w:val="clear" w:color="auto" w:fill="auto"/>
          </w:tcPr>
          <w:p>
            <w:r>
              <w:rPr>
                <w:rFonts w:hint="eastAsia"/>
              </w:rPr>
              <w:t>有所改善</w:t>
            </w:r>
          </w:p>
        </w:tc>
        <w:tc>
          <w:tcPr>
            <w:tcW w:w="4512" w:type="dxa"/>
            <w:shd w:val="clear" w:color="auto" w:fill="auto"/>
          </w:tcPr>
          <w:p>
            <w:r>
              <w:rPr>
                <w:rFonts w:hint="eastAsia"/>
              </w:rPr>
              <w:t>《中华人民共和国城市房地产管理法》中华人民共和国主席令第七十二号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对使用人员调查中满意人数占调查总人数的比例</w:t>
            </w:r>
          </w:p>
        </w:tc>
        <w:tc>
          <w:tcPr>
            <w:tcW w:w="1276" w:type="dxa"/>
            <w:shd w:val="clear" w:color="auto" w:fill="auto"/>
          </w:tcPr>
          <w:p>
            <w:r>
              <w:rPr>
                <w:rFonts w:hint="eastAsia"/>
              </w:rPr>
              <w:t>≥95%</w:t>
            </w:r>
          </w:p>
        </w:tc>
        <w:tc>
          <w:tcPr>
            <w:tcW w:w="4512" w:type="dxa"/>
            <w:shd w:val="clear" w:color="auto" w:fill="auto"/>
          </w:tcPr>
          <w:p>
            <w:r>
              <w:rPr>
                <w:rFonts w:hint="eastAsia"/>
              </w:rPr>
              <w:t>调查问卷</w:t>
            </w:r>
          </w:p>
        </w:tc>
      </w:tr>
    </w:tbl>
    <w:p>
      <w:pPr>
        <w:ind w:firstLine="560"/>
        <w:outlineLvl w:val="3"/>
      </w:pPr>
      <w:bookmarkStart w:id="17" w:name="_Toc_4_4_0000000020"/>
      <w:r>
        <w:rPr>
          <w:rFonts w:ascii="方正仿宋_GBK" w:hAnsi="方正仿宋_GBK" w:eastAsia="方正仿宋_GBK" w:cs="方正仿宋_GBK"/>
          <w:color w:val="000000"/>
          <w:sz w:val="28"/>
        </w:rPr>
        <w:t>17.建设工程质量监督工作经费绩效目标表</w:t>
      </w:r>
      <w:bookmarkEnd w:id="17"/>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提升工程质量水平，确保人民群众生命财产安全，促进建筑业持续健康发展。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劳务派遣人数</w:t>
            </w:r>
          </w:p>
        </w:tc>
        <w:tc>
          <w:tcPr>
            <w:tcW w:w="3544" w:type="dxa"/>
            <w:shd w:val="clear" w:color="auto" w:fill="auto"/>
          </w:tcPr>
          <w:p>
            <w:r>
              <w:rPr>
                <w:rFonts w:hint="eastAsia"/>
              </w:rPr>
              <w:t>检测中心劳务派遣人员数量</w:t>
            </w:r>
          </w:p>
        </w:tc>
        <w:tc>
          <w:tcPr>
            <w:tcW w:w="1276" w:type="dxa"/>
            <w:shd w:val="clear" w:color="auto" w:fill="auto"/>
          </w:tcPr>
          <w:p>
            <w:r>
              <w:rPr>
                <w:rFonts w:hint="eastAsia"/>
              </w:rPr>
              <w:t>10人</w:t>
            </w:r>
          </w:p>
        </w:tc>
        <w:tc>
          <w:tcPr>
            <w:tcW w:w="4512" w:type="dxa"/>
            <w:shd w:val="clear" w:color="auto" w:fill="auto"/>
          </w:tcPr>
          <w:p>
            <w:r>
              <w:rPr>
                <w:rFonts w:hint="eastAsia"/>
              </w:rPr>
              <w:t>劳动合同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足额发放工资</w:t>
            </w:r>
          </w:p>
        </w:tc>
        <w:tc>
          <w:tcPr>
            <w:tcW w:w="3544" w:type="dxa"/>
            <w:shd w:val="clear" w:color="auto" w:fill="auto"/>
          </w:tcPr>
          <w:p>
            <w:r>
              <w:rPr>
                <w:rFonts w:hint="eastAsia"/>
              </w:rPr>
              <w:t>按照管理办法足额发放</w:t>
            </w:r>
          </w:p>
        </w:tc>
        <w:tc>
          <w:tcPr>
            <w:tcW w:w="1276" w:type="dxa"/>
            <w:shd w:val="clear" w:color="auto" w:fill="auto"/>
          </w:tcPr>
          <w:p>
            <w:r>
              <w:rPr>
                <w:rFonts w:hint="eastAsia"/>
              </w:rPr>
              <w:t>12次</w:t>
            </w:r>
          </w:p>
        </w:tc>
        <w:tc>
          <w:tcPr>
            <w:tcW w:w="4512" w:type="dxa"/>
            <w:shd w:val="clear" w:color="auto" w:fill="auto"/>
          </w:tcPr>
          <w:p>
            <w:r>
              <w:rPr>
                <w:rFonts w:hint="eastAsia"/>
              </w:rPr>
              <w:t>劳务派遣人员管理办法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发放工资及时率</w:t>
            </w:r>
          </w:p>
        </w:tc>
        <w:tc>
          <w:tcPr>
            <w:tcW w:w="3544" w:type="dxa"/>
            <w:shd w:val="clear" w:color="auto" w:fill="auto"/>
          </w:tcPr>
          <w:p>
            <w:r>
              <w:rPr>
                <w:rFonts w:hint="eastAsia"/>
              </w:rPr>
              <w:t>按时发放劳务派遣工资及时率</w:t>
            </w:r>
          </w:p>
        </w:tc>
        <w:tc>
          <w:tcPr>
            <w:tcW w:w="1276" w:type="dxa"/>
            <w:shd w:val="clear" w:color="auto" w:fill="auto"/>
          </w:tcPr>
          <w:p>
            <w:r>
              <w:rPr>
                <w:rFonts w:hint="eastAsia"/>
              </w:rPr>
              <w:t>100%</w:t>
            </w:r>
          </w:p>
        </w:tc>
        <w:tc>
          <w:tcPr>
            <w:tcW w:w="4512" w:type="dxa"/>
            <w:shd w:val="clear" w:color="auto" w:fill="auto"/>
          </w:tcPr>
          <w:p>
            <w:r>
              <w:rPr>
                <w:rFonts w:hint="eastAsia"/>
              </w:rPr>
              <w:t>劳动合同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劳务派遣每人年工资额</w:t>
            </w:r>
          </w:p>
        </w:tc>
        <w:tc>
          <w:tcPr>
            <w:tcW w:w="3544" w:type="dxa"/>
            <w:shd w:val="clear" w:color="auto" w:fill="auto"/>
          </w:tcPr>
          <w:p>
            <w:r>
              <w:rPr>
                <w:rFonts w:hint="eastAsia"/>
              </w:rPr>
              <w:t>劳务派遣每人年工资额</w:t>
            </w:r>
          </w:p>
        </w:tc>
        <w:tc>
          <w:tcPr>
            <w:tcW w:w="1276" w:type="dxa"/>
            <w:shd w:val="clear" w:color="auto" w:fill="auto"/>
          </w:tcPr>
          <w:p>
            <w:r>
              <w:rPr>
                <w:rFonts w:hint="eastAsia"/>
              </w:rPr>
              <w:t>≤4万元/人</w:t>
            </w:r>
          </w:p>
        </w:tc>
        <w:tc>
          <w:tcPr>
            <w:tcW w:w="4512" w:type="dxa"/>
            <w:shd w:val="clear" w:color="auto" w:fill="auto"/>
          </w:tcPr>
          <w:p>
            <w:r>
              <w:rPr>
                <w:rFonts w:hint="eastAsia"/>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对我市整体提升工程质量水平的影响程度</w:t>
            </w:r>
          </w:p>
        </w:tc>
        <w:tc>
          <w:tcPr>
            <w:tcW w:w="3544" w:type="dxa"/>
            <w:shd w:val="clear" w:color="auto" w:fill="auto"/>
          </w:tcPr>
          <w:p>
            <w:r>
              <w:rPr>
                <w:rFonts w:hint="eastAsia"/>
              </w:rPr>
              <w:t>通过保证各项工程所用材料达到相关要求，规范建设质量，对我市整体提升工程质量水平的影响程度</w:t>
            </w:r>
          </w:p>
        </w:tc>
        <w:tc>
          <w:tcPr>
            <w:tcW w:w="1276" w:type="dxa"/>
            <w:shd w:val="clear" w:color="auto" w:fill="auto"/>
          </w:tcPr>
          <w:p>
            <w:r>
              <w:rPr>
                <w:rFonts w:hint="eastAsia"/>
              </w:rPr>
              <w:t>有所提高</w:t>
            </w:r>
          </w:p>
        </w:tc>
        <w:tc>
          <w:tcPr>
            <w:tcW w:w="4512" w:type="dxa"/>
            <w:shd w:val="clear" w:color="auto" w:fill="auto"/>
          </w:tcPr>
          <w:p>
            <w:r>
              <w:rPr>
                <w:rFonts w:hint="eastAsia"/>
              </w:rPr>
              <w:t>《中共三河市委机构编制委员会办公室关于规范三河市住房和城乡建设局内设机构有关事宜的通知》三编办字【2020】51号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≥95%</w:t>
            </w:r>
          </w:p>
        </w:tc>
        <w:tc>
          <w:tcPr>
            <w:tcW w:w="4512" w:type="dxa"/>
            <w:shd w:val="clear" w:color="auto" w:fill="auto"/>
          </w:tcPr>
          <w:p>
            <w:r>
              <w:rPr>
                <w:rFonts w:hint="eastAsia"/>
              </w:rPr>
              <w:t>满意度调查表</w:t>
            </w:r>
          </w:p>
        </w:tc>
      </w:tr>
    </w:tbl>
    <w:p>
      <w:pPr>
        <w:ind w:firstLine="560"/>
        <w:outlineLvl w:val="3"/>
      </w:pPr>
      <w:bookmarkStart w:id="18" w:name="_Toc_4_4_0000000021"/>
      <w:r>
        <w:rPr>
          <w:rFonts w:ascii="方正仿宋_GBK" w:hAnsi="方正仿宋_GBK" w:eastAsia="方正仿宋_GBK" w:cs="方正仿宋_GBK"/>
          <w:color w:val="000000"/>
          <w:sz w:val="28"/>
        </w:rPr>
        <w:t>18.建筑行业管理经费绩效目标表</w:t>
      </w:r>
      <w:bookmarkEnd w:id="18"/>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持续强化建筑行业监管，确保空气质量持续稳定改善。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视频监控光纤数</w:t>
            </w:r>
          </w:p>
        </w:tc>
        <w:tc>
          <w:tcPr>
            <w:tcW w:w="3544" w:type="dxa"/>
            <w:shd w:val="clear" w:color="auto" w:fill="auto"/>
          </w:tcPr>
          <w:p>
            <w:r>
              <w:rPr>
                <w:rFonts w:hint="eastAsia"/>
              </w:rPr>
              <w:t>视频监控光纤数</w:t>
            </w:r>
          </w:p>
        </w:tc>
        <w:tc>
          <w:tcPr>
            <w:tcW w:w="1276" w:type="dxa"/>
            <w:shd w:val="clear" w:color="auto" w:fill="auto"/>
          </w:tcPr>
          <w:p>
            <w:r>
              <w:rPr>
                <w:rFonts w:hint="eastAsia"/>
              </w:rPr>
              <w:t>≥1条</w:t>
            </w:r>
          </w:p>
        </w:tc>
        <w:tc>
          <w:tcPr>
            <w:tcW w:w="4512"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验收合格率</w:t>
            </w:r>
          </w:p>
        </w:tc>
        <w:tc>
          <w:tcPr>
            <w:tcW w:w="3544" w:type="dxa"/>
            <w:shd w:val="clear" w:color="auto" w:fill="auto"/>
          </w:tcPr>
          <w:p>
            <w:r>
              <w:rPr>
                <w:rFonts w:hint="eastAsia"/>
              </w:rPr>
              <w:t>监测平台验收合格率</w:t>
            </w:r>
          </w:p>
        </w:tc>
        <w:tc>
          <w:tcPr>
            <w:tcW w:w="1276" w:type="dxa"/>
            <w:shd w:val="clear" w:color="auto" w:fill="auto"/>
          </w:tcPr>
          <w:p>
            <w:r>
              <w:rPr>
                <w:rFonts w:hint="eastAsia"/>
              </w:rPr>
              <w:t>100%</w:t>
            </w:r>
          </w:p>
        </w:tc>
        <w:tc>
          <w:tcPr>
            <w:tcW w:w="4512"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数量指标</w:t>
            </w:r>
          </w:p>
        </w:tc>
        <w:tc>
          <w:tcPr>
            <w:tcW w:w="1843" w:type="dxa"/>
            <w:shd w:val="clear" w:color="auto" w:fill="auto"/>
          </w:tcPr>
          <w:p>
            <w:r>
              <w:rPr>
                <w:rFonts w:hint="eastAsia"/>
              </w:rPr>
              <w:t>工程造价询价天数</w:t>
            </w:r>
          </w:p>
        </w:tc>
        <w:tc>
          <w:tcPr>
            <w:tcW w:w="3544" w:type="dxa"/>
            <w:shd w:val="clear" w:color="auto" w:fill="auto"/>
          </w:tcPr>
          <w:p>
            <w:r>
              <w:rPr>
                <w:rFonts w:hint="eastAsia"/>
              </w:rPr>
              <w:t>工程造价询价天数</w:t>
            </w:r>
          </w:p>
        </w:tc>
        <w:tc>
          <w:tcPr>
            <w:tcW w:w="1276" w:type="dxa"/>
            <w:shd w:val="clear" w:color="auto" w:fill="auto"/>
          </w:tcPr>
          <w:p>
            <w:r>
              <w:rPr>
                <w:rFonts w:hint="eastAsia"/>
              </w:rPr>
              <w:t>≥10天</w:t>
            </w:r>
          </w:p>
        </w:tc>
        <w:tc>
          <w:tcPr>
            <w:tcW w:w="4512" w:type="dxa"/>
            <w:shd w:val="clear" w:color="auto" w:fill="auto"/>
          </w:tcPr>
          <w:p>
            <w:r>
              <w:rPr>
                <w:rFonts w:hint="eastAsia"/>
              </w:rPr>
              <w:t>询价单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经费支出时间</w:t>
            </w:r>
          </w:p>
        </w:tc>
        <w:tc>
          <w:tcPr>
            <w:tcW w:w="3544" w:type="dxa"/>
            <w:shd w:val="clear" w:color="auto" w:fill="auto"/>
          </w:tcPr>
          <w:p>
            <w:r>
              <w:rPr>
                <w:rFonts w:hint="eastAsia"/>
              </w:rPr>
              <w:t>按照合同约定支付资金到位</w:t>
            </w:r>
          </w:p>
        </w:tc>
        <w:tc>
          <w:tcPr>
            <w:tcW w:w="1276" w:type="dxa"/>
            <w:shd w:val="clear" w:color="auto" w:fill="auto"/>
          </w:tcPr>
          <w:p>
            <w:r>
              <w:rPr>
                <w:rFonts w:hint="eastAsia"/>
              </w:rPr>
              <w:t>100%</w:t>
            </w:r>
          </w:p>
        </w:tc>
        <w:tc>
          <w:tcPr>
            <w:tcW w:w="4512"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成本指标</w:t>
            </w:r>
          </w:p>
        </w:tc>
        <w:tc>
          <w:tcPr>
            <w:tcW w:w="1843" w:type="dxa"/>
            <w:shd w:val="clear" w:color="auto" w:fill="auto"/>
          </w:tcPr>
          <w:p>
            <w:r>
              <w:rPr>
                <w:rFonts w:hint="eastAsia"/>
              </w:rPr>
              <w:t>视频监控光纤使用费年度成本</w:t>
            </w:r>
          </w:p>
        </w:tc>
        <w:tc>
          <w:tcPr>
            <w:tcW w:w="3544" w:type="dxa"/>
            <w:shd w:val="clear" w:color="auto" w:fill="auto"/>
          </w:tcPr>
          <w:p>
            <w:r>
              <w:rPr>
                <w:rFonts w:hint="eastAsia"/>
              </w:rPr>
              <w:t>视频监控光纤使用费年度成本</w:t>
            </w:r>
          </w:p>
        </w:tc>
        <w:tc>
          <w:tcPr>
            <w:tcW w:w="1276" w:type="dxa"/>
            <w:shd w:val="clear" w:color="auto" w:fill="auto"/>
          </w:tcPr>
          <w:p>
            <w:r>
              <w:rPr>
                <w:rFonts w:hint="eastAsia"/>
              </w:rPr>
              <w:t>≤7.2万元/年</w:t>
            </w:r>
          </w:p>
        </w:tc>
        <w:tc>
          <w:tcPr>
            <w:tcW w:w="4512" w:type="dxa"/>
            <w:shd w:val="clear" w:color="auto" w:fill="auto"/>
          </w:tcPr>
          <w:p>
            <w:r>
              <w:rPr>
                <w:rFonts w:hint="eastAsia"/>
              </w:rPr>
              <w:t>光纤使用合同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成本指标</w:t>
            </w:r>
          </w:p>
        </w:tc>
        <w:tc>
          <w:tcPr>
            <w:tcW w:w="1843" w:type="dxa"/>
            <w:shd w:val="clear" w:color="auto" w:fill="auto"/>
          </w:tcPr>
          <w:p>
            <w:r>
              <w:rPr>
                <w:rFonts w:hint="eastAsia"/>
              </w:rPr>
              <w:t>询价每天成本</w:t>
            </w:r>
          </w:p>
        </w:tc>
        <w:tc>
          <w:tcPr>
            <w:tcW w:w="3544" w:type="dxa"/>
            <w:shd w:val="clear" w:color="auto" w:fill="auto"/>
          </w:tcPr>
          <w:p>
            <w:r>
              <w:rPr>
                <w:rFonts w:hint="eastAsia"/>
              </w:rPr>
              <w:t>询价每天成本</w:t>
            </w:r>
          </w:p>
        </w:tc>
        <w:tc>
          <w:tcPr>
            <w:tcW w:w="1276" w:type="dxa"/>
            <w:shd w:val="clear" w:color="auto" w:fill="auto"/>
          </w:tcPr>
          <w:p>
            <w:r>
              <w:rPr>
                <w:rFonts w:hint="eastAsia"/>
              </w:rPr>
              <w:t>≥1000元/天</w:t>
            </w:r>
          </w:p>
        </w:tc>
        <w:tc>
          <w:tcPr>
            <w:tcW w:w="4512" w:type="dxa"/>
            <w:shd w:val="clear" w:color="auto" w:fill="auto"/>
          </w:tcPr>
          <w:p>
            <w:r>
              <w:rPr>
                <w:rFonts w:hint="eastAsia"/>
              </w:rPr>
              <w:t>询价纪录单</w:t>
            </w:r>
          </w:p>
        </w:tc>
      </w:tr>
    </w:tbl>
    <w:p>
      <w:pPr>
        <w:ind w:firstLine="560"/>
        <w:outlineLvl w:val="3"/>
      </w:pPr>
      <w:bookmarkStart w:id="19" w:name="_Toc_4_4_0000000022"/>
      <w:r>
        <w:rPr>
          <w:rFonts w:ascii="方正仿宋_GBK" w:hAnsi="方正仿宋_GBK" w:eastAsia="方正仿宋_GBK" w:cs="方正仿宋_GBK"/>
          <w:color w:val="000000"/>
          <w:sz w:val="28"/>
        </w:rPr>
        <w:t>19.南、北城污水处理厂运行经费（报批）绩效目标表</w:t>
      </w:r>
      <w:bookmarkEnd w:id="19"/>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通过项目的开展，实现生活污水处理达标排放，保障市民生产生活环境的改善。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补贴的企业单位数量（个）</w:t>
            </w:r>
          </w:p>
        </w:tc>
        <w:tc>
          <w:tcPr>
            <w:tcW w:w="3544" w:type="dxa"/>
            <w:shd w:val="clear" w:color="auto" w:fill="auto"/>
          </w:tcPr>
          <w:p>
            <w:r>
              <w:rPr>
                <w:rFonts w:hint="eastAsia"/>
              </w:rPr>
              <w:t>符合补贴政策，给予补贴的污水处理企业单位个数</w:t>
            </w:r>
          </w:p>
        </w:tc>
        <w:tc>
          <w:tcPr>
            <w:tcW w:w="1276" w:type="dxa"/>
            <w:shd w:val="clear" w:color="auto" w:fill="auto"/>
          </w:tcPr>
          <w:p>
            <w:r>
              <w:rPr>
                <w:rFonts w:hint="eastAsia"/>
              </w:rPr>
              <w:t>2个</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污水处理合格率</w:t>
            </w:r>
          </w:p>
        </w:tc>
        <w:tc>
          <w:tcPr>
            <w:tcW w:w="3544" w:type="dxa"/>
            <w:shd w:val="clear" w:color="auto" w:fill="auto"/>
          </w:tcPr>
          <w:p>
            <w:r>
              <w:rPr>
                <w:rFonts w:hint="eastAsia"/>
              </w:rPr>
              <w:t>反映工作合格率情况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污水处理及时率</w:t>
            </w:r>
          </w:p>
        </w:tc>
        <w:tc>
          <w:tcPr>
            <w:tcW w:w="3544" w:type="dxa"/>
            <w:shd w:val="clear" w:color="auto" w:fill="auto"/>
          </w:tcPr>
          <w:p>
            <w:r>
              <w:rPr>
                <w:rFonts w:hint="eastAsia"/>
              </w:rPr>
              <w:t>反映污水处理及时率情况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上一年尾款</w:t>
            </w:r>
          </w:p>
        </w:tc>
        <w:tc>
          <w:tcPr>
            <w:tcW w:w="3544" w:type="dxa"/>
            <w:shd w:val="clear" w:color="auto" w:fill="auto"/>
          </w:tcPr>
          <w:p>
            <w:r>
              <w:rPr>
                <w:rFonts w:hint="eastAsia"/>
              </w:rPr>
              <w:t>上一年尾款</w:t>
            </w:r>
          </w:p>
        </w:tc>
        <w:tc>
          <w:tcPr>
            <w:tcW w:w="1276" w:type="dxa"/>
            <w:shd w:val="clear" w:color="auto" w:fill="auto"/>
          </w:tcPr>
          <w:p>
            <w:r>
              <w:rPr>
                <w:rFonts w:hint="eastAsia"/>
              </w:rPr>
              <w:t>263.94万元</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设备设施正常运转率</w:t>
            </w:r>
          </w:p>
        </w:tc>
        <w:tc>
          <w:tcPr>
            <w:tcW w:w="3544" w:type="dxa"/>
            <w:shd w:val="clear" w:color="auto" w:fill="auto"/>
          </w:tcPr>
          <w:p>
            <w:r>
              <w:rPr>
                <w:rFonts w:hint="eastAsia"/>
              </w:rPr>
              <w:t>通过维护改造、运营补贴，设备设施正常运转率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服务对象满意度指标</w:t>
            </w:r>
          </w:p>
        </w:tc>
        <w:tc>
          <w:tcPr>
            <w:tcW w:w="3544" w:type="dxa"/>
            <w:shd w:val="clear" w:color="auto" w:fill="auto"/>
          </w:tcPr>
          <w:p>
            <w:r>
              <w:rPr>
                <w:rFonts w:hint="eastAsia"/>
              </w:rPr>
              <w:t>满意的对象占所有调查对象的比例</w:t>
            </w:r>
          </w:p>
        </w:tc>
        <w:tc>
          <w:tcPr>
            <w:tcW w:w="1276" w:type="dxa"/>
            <w:shd w:val="clear" w:color="auto" w:fill="auto"/>
          </w:tcPr>
          <w:p>
            <w:r>
              <w:rPr>
                <w:rFonts w:hint="eastAsia"/>
              </w:rPr>
              <w:t>≥95%</w:t>
            </w:r>
          </w:p>
        </w:tc>
        <w:tc>
          <w:tcPr>
            <w:tcW w:w="4512" w:type="dxa"/>
            <w:shd w:val="clear" w:color="auto" w:fill="auto"/>
          </w:tcPr>
          <w:p>
            <w:r>
              <w:rPr>
                <w:rFonts w:hint="eastAsia"/>
              </w:rPr>
              <w:t>调查问卷</w:t>
            </w:r>
          </w:p>
        </w:tc>
      </w:tr>
    </w:tbl>
    <w:p>
      <w:pPr>
        <w:ind w:firstLine="560"/>
        <w:outlineLvl w:val="3"/>
      </w:pPr>
      <w:bookmarkStart w:id="20" w:name="_Toc_4_4_0000000023"/>
      <w:r>
        <w:rPr>
          <w:rFonts w:ascii="方正仿宋_GBK" w:hAnsi="方正仿宋_GBK" w:eastAsia="方正仿宋_GBK" w:cs="方正仿宋_GBK"/>
          <w:color w:val="000000"/>
          <w:sz w:val="28"/>
        </w:rPr>
        <w:t>20.农村气代煤工作经费绩效目标表</w:t>
      </w:r>
      <w:bookmarkEnd w:id="2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燃气供热行业安全隐患排查到位，确保安全运行。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日常巡查次数</w:t>
            </w:r>
          </w:p>
        </w:tc>
        <w:tc>
          <w:tcPr>
            <w:tcW w:w="3544" w:type="dxa"/>
            <w:shd w:val="clear" w:color="auto" w:fill="auto"/>
          </w:tcPr>
          <w:p>
            <w:r>
              <w:rPr>
                <w:rFonts w:hint="eastAsia"/>
              </w:rPr>
              <w:t>日常巡查全市气代煤工程及燃气企业的次数</w:t>
            </w:r>
          </w:p>
        </w:tc>
        <w:tc>
          <w:tcPr>
            <w:tcW w:w="1276" w:type="dxa"/>
            <w:shd w:val="clear" w:color="auto" w:fill="auto"/>
          </w:tcPr>
          <w:p>
            <w:r>
              <w:rPr>
                <w:rFonts w:hint="eastAsia"/>
              </w:rPr>
              <w:t>≥90次/年</w:t>
            </w:r>
          </w:p>
        </w:tc>
        <w:tc>
          <w:tcPr>
            <w:tcW w:w="4512" w:type="dxa"/>
            <w:shd w:val="clear" w:color="auto" w:fill="auto"/>
          </w:tcPr>
          <w:p>
            <w:r>
              <w:rPr>
                <w:rFonts w:hint="eastAsia"/>
              </w:rPr>
              <w:t>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软件运转正常率</w:t>
            </w:r>
          </w:p>
        </w:tc>
        <w:tc>
          <w:tcPr>
            <w:tcW w:w="3544" w:type="dxa"/>
            <w:shd w:val="clear" w:color="auto" w:fill="auto"/>
          </w:tcPr>
          <w:p>
            <w:r>
              <w:rPr>
                <w:rFonts w:hint="eastAsia"/>
              </w:rPr>
              <w:t>检测软件正常运转率</w:t>
            </w:r>
          </w:p>
        </w:tc>
        <w:tc>
          <w:tcPr>
            <w:tcW w:w="1276" w:type="dxa"/>
            <w:shd w:val="clear" w:color="auto" w:fill="auto"/>
          </w:tcPr>
          <w:p>
            <w:r>
              <w:rPr>
                <w:rFonts w:hint="eastAsia"/>
              </w:rPr>
              <w:t>≥95%</w:t>
            </w:r>
          </w:p>
        </w:tc>
        <w:tc>
          <w:tcPr>
            <w:tcW w:w="4512"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经费支出时间</w:t>
            </w:r>
          </w:p>
        </w:tc>
        <w:tc>
          <w:tcPr>
            <w:tcW w:w="3544" w:type="dxa"/>
            <w:shd w:val="clear" w:color="auto" w:fill="auto"/>
          </w:tcPr>
          <w:p>
            <w:r>
              <w:rPr>
                <w:rFonts w:hint="eastAsia"/>
              </w:rPr>
              <w:t>按照合同约定支付资金到位</w:t>
            </w:r>
          </w:p>
        </w:tc>
        <w:tc>
          <w:tcPr>
            <w:tcW w:w="1276" w:type="dxa"/>
            <w:shd w:val="clear" w:color="auto" w:fill="auto"/>
          </w:tcPr>
          <w:p>
            <w:r>
              <w:rPr>
                <w:rFonts w:hint="eastAsia"/>
              </w:rPr>
              <w:t>按合同预定支付</w:t>
            </w:r>
          </w:p>
        </w:tc>
        <w:tc>
          <w:tcPr>
            <w:tcW w:w="4512"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聘请专家费用控制</w:t>
            </w:r>
          </w:p>
        </w:tc>
        <w:tc>
          <w:tcPr>
            <w:tcW w:w="3544" w:type="dxa"/>
            <w:shd w:val="clear" w:color="auto" w:fill="auto"/>
          </w:tcPr>
          <w:p>
            <w:r>
              <w:rPr>
                <w:rFonts w:hint="eastAsia"/>
              </w:rPr>
              <w:t>全年聘请专家费用控制在金额范围</w:t>
            </w:r>
          </w:p>
        </w:tc>
        <w:tc>
          <w:tcPr>
            <w:tcW w:w="1276" w:type="dxa"/>
            <w:shd w:val="clear" w:color="auto" w:fill="auto"/>
          </w:tcPr>
          <w:p>
            <w:r>
              <w:rPr>
                <w:rFonts w:hint="eastAsia"/>
              </w:rPr>
              <w:t>≥15001500元/人/天</w:t>
            </w:r>
          </w:p>
        </w:tc>
        <w:tc>
          <w:tcPr>
            <w:tcW w:w="4512"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通过维护改造，消除安全隐患的项数或情况</w:t>
            </w:r>
          </w:p>
        </w:tc>
        <w:tc>
          <w:tcPr>
            <w:tcW w:w="1276" w:type="dxa"/>
            <w:shd w:val="clear" w:color="auto" w:fill="auto"/>
          </w:tcPr>
          <w:p>
            <w:r>
              <w:rPr>
                <w:rFonts w:hint="eastAsia"/>
              </w:rPr>
              <w:t>得到提升</w:t>
            </w:r>
          </w:p>
        </w:tc>
        <w:tc>
          <w:tcPr>
            <w:tcW w:w="4512" w:type="dxa"/>
            <w:shd w:val="clear" w:color="auto" w:fill="auto"/>
          </w:tcPr>
          <w:p>
            <w:r>
              <w:rPr>
                <w:rFonts w:hint="eastAsia"/>
              </w:rPr>
              <w:t>《中共三河市委机构编制委员会办公室关于规范三河市住房和城乡建设局内设机构有关事宜的通知》三编办字【2020】51号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满意度调查报告</w:t>
            </w:r>
          </w:p>
        </w:tc>
      </w:tr>
    </w:tbl>
    <w:p>
      <w:pPr>
        <w:ind w:firstLine="560"/>
        <w:outlineLvl w:val="3"/>
      </w:pPr>
      <w:bookmarkStart w:id="21" w:name="_Toc_4_4_0000000024"/>
      <w:r>
        <w:rPr>
          <w:rFonts w:ascii="方正仿宋_GBK" w:hAnsi="方正仿宋_GBK" w:eastAsia="方正仿宋_GBK" w:cs="方正仿宋_GBK"/>
          <w:color w:val="000000"/>
          <w:sz w:val="28"/>
        </w:rPr>
        <w:t>21.人防工作业务费绩效目标表</w:t>
      </w:r>
      <w:bookmarkEnd w:id="21"/>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组织开展防空防灾宣传教育；组织开展防空防灾宣传教育；完成人防日常训练演练；加强人民防空应战应急防灾能力建设.</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组织开展防空防灾宣传教育</w:t>
            </w:r>
          </w:p>
        </w:tc>
        <w:tc>
          <w:tcPr>
            <w:tcW w:w="3544" w:type="dxa"/>
            <w:shd w:val="clear" w:color="auto" w:fill="auto"/>
          </w:tcPr>
          <w:p>
            <w:r>
              <w:rPr>
                <w:rFonts w:hint="eastAsia"/>
              </w:rPr>
              <w:t>年度内组织开展防空防灾宣传教育的次数</w:t>
            </w:r>
          </w:p>
        </w:tc>
        <w:tc>
          <w:tcPr>
            <w:tcW w:w="1276" w:type="dxa"/>
            <w:shd w:val="clear" w:color="auto" w:fill="auto"/>
          </w:tcPr>
          <w:p>
            <w:r>
              <w:rPr>
                <w:rFonts w:hint="eastAsia"/>
              </w:rPr>
              <w:t>≤2次</w:t>
            </w:r>
          </w:p>
        </w:tc>
        <w:tc>
          <w:tcPr>
            <w:tcW w:w="4512" w:type="dxa"/>
            <w:shd w:val="clear" w:color="auto" w:fill="auto"/>
          </w:tcPr>
          <w:p>
            <w:r>
              <w:rPr>
                <w:rFonts w:hint="eastAsia"/>
              </w:rPr>
              <w:t>《河北省实施〈中华人民共和国人民防空法〉办法》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宣传教育合格率</w:t>
            </w:r>
          </w:p>
        </w:tc>
        <w:tc>
          <w:tcPr>
            <w:tcW w:w="3544" w:type="dxa"/>
            <w:shd w:val="clear" w:color="auto" w:fill="auto"/>
          </w:tcPr>
          <w:p>
            <w:r>
              <w:rPr>
                <w:rFonts w:hint="eastAsia"/>
              </w:rPr>
              <w:t>通过组织开展防空防灾宣传教育占宣传区总量的比率</w:t>
            </w:r>
          </w:p>
        </w:tc>
        <w:tc>
          <w:tcPr>
            <w:tcW w:w="1276" w:type="dxa"/>
            <w:shd w:val="clear" w:color="auto" w:fill="auto"/>
          </w:tcPr>
          <w:p>
            <w:r>
              <w:rPr>
                <w:rFonts w:hint="eastAsia"/>
              </w:rPr>
              <w:t>≤100%</w:t>
            </w:r>
          </w:p>
        </w:tc>
        <w:tc>
          <w:tcPr>
            <w:tcW w:w="4512" w:type="dxa"/>
            <w:shd w:val="clear" w:color="auto" w:fill="auto"/>
          </w:tcPr>
          <w:p>
            <w:r>
              <w:rPr>
                <w:rFonts w:hint="eastAsia"/>
              </w:rPr>
              <w:t>《河北省实施〈中华人民共和国人民防空法〉办法》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工资发放及时率</w:t>
            </w:r>
          </w:p>
        </w:tc>
        <w:tc>
          <w:tcPr>
            <w:tcW w:w="3544" w:type="dxa"/>
            <w:shd w:val="clear" w:color="auto" w:fill="auto"/>
            <w:vAlign w:val="center"/>
          </w:tcPr>
          <w:p>
            <w:pPr>
              <w:pStyle w:val="14"/>
            </w:pPr>
            <w:r>
              <w:t>次月初发放劳务人员工资</w:t>
            </w:r>
          </w:p>
        </w:tc>
        <w:tc>
          <w:tcPr>
            <w:tcW w:w="1276" w:type="dxa"/>
            <w:shd w:val="clear" w:color="auto" w:fill="auto"/>
            <w:vAlign w:val="center"/>
          </w:tcPr>
          <w:p>
            <w:pPr>
              <w:pStyle w:val="14"/>
            </w:pPr>
            <w:r>
              <w:t>100%</w:t>
            </w:r>
          </w:p>
        </w:tc>
        <w:tc>
          <w:tcPr>
            <w:tcW w:w="4512" w:type="dxa"/>
            <w:shd w:val="clear" w:color="auto" w:fill="auto"/>
            <w:vAlign w:val="center"/>
          </w:tcPr>
          <w:p>
            <w:pPr>
              <w:pStyle w:val="14"/>
            </w:pPr>
            <w:r>
              <w:t>劳动合同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成本指标</w:t>
            </w:r>
          </w:p>
        </w:tc>
        <w:tc>
          <w:tcPr>
            <w:tcW w:w="1843" w:type="dxa"/>
            <w:shd w:val="clear" w:color="auto" w:fill="auto"/>
          </w:tcPr>
          <w:p>
            <w:r>
              <w:rPr>
                <w:rFonts w:hint="eastAsia"/>
              </w:rPr>
              <w:t>警报系统检修和信号检测维护相关费用成本控制</w:t>
            </w:r>
          </w:p>
        </w:tc>
        <w:tc>
          <w:tcPr>
            <w:tcW w:w="3544" w:type="dxa"/>
            <w:shd w:val="clear" w:color="auto" w:fill="auto"/>
          </w:tcPr>
          <w:p>
            <w:r>
              <w:rPr>
                <w:rFonts w:hint="eastAsia"/>
              </w:rPr>
              <w:t>警报系统检修和信号检测维护相关费用年度费用</w:t>
            </w:r>
          </w:p>
        </w:tc>
        <w:tc>
          <w:tcPr>
            <w:tcW w:w="1276" w:type="dxa"/>
            <w:shd w:val="clear" w:color="auto" w:fill="auto"/>
          </w:tcPr>
          <w:p>
            <w:r>
              <w:rPr>
                <w:rFonts w:hint="eastAsia"/>
              </w:rPr>
              <w:t>≤4.86万元</w:t>
            </w:r>
          </w:p>
        </w:tc>
        <w:tc>
          <w:tcPr>
            <w:tcW w:w="4512" w:type="dxa"/>
            <w:shd w:val="clear" w:color="auto" w:fill="auto"/>
          </w:tcPr>
          <w:p>
            <w:r>
              <w:rPr>
                <w:rFonts w:hint="eastAsia"/>
              </w:rPr>
              <w:t>检测维护合同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社会效益指标</w:t>
            </w:r>
          </w:p>
        </w:tc>
        <w:tc>
          <w:tcPr>
            <w:tcW w:w="1843" w:type="dxa"/>
            <w:shd w:val="clear" w:color="auto" w:fill="auto"/>
          </w:tcPr>
          <w:p>
            <w:r>
              <w:rPr>
                <w:rFonts w:hint="eastAsia"/>
              </w:rPr>
              <w:t>通讯系统安全保障优化情况</w:t>
            </w:r>
          </w:p>
        </w:tc>
        <w:tc>
          <w:tcPr>
            <w:tcW w:w="3544" w:type="dxa"/>
            <w:shd w:val="clear" w:color="auto" w:fill="auto"/>
          </w:tcPr>
          <w:p>
            <w:r>
              <w:rPr>
                <w:rFonts w:hint="eastAsia"/>
              </w:rPr>
              <w:t>提升、优化人防通讯系统安全保障</w:t>
            </w:r>
          </w:p>
        </w:tc>
        <w:tc>
          <w:tcPr>
            <w:tcW w:w="1276" w:type="dxa"/>
            <w:shd w:val="clear" w:color="auto" w:fill="auto"/>
          </w:tcPr>
          <w:p>
            <w:r>
              <w:rPr>
                <w:rFonts w:hint="eastAsia"/>
              </w:rPr>
              <w:t>有所提升</w:t>
            </w:r>
          </w:p>
        </w:tc>
        <w:tc>
          <w:tcPr>
            <w:tcW w:w="4512" w:type="dxa"/>
            <w:shd w:val="clear" w:color="auto" w:fill="auto"/>
          </w:tcPr>
          <w:p>
            <w:r>
              <w:rPr>
                <w:rFonts w:hint="eastAsia"/>
              </w:rPr>
              <w:t>关于印发《廊坊市2019年人民防空工作要点》的通知 廊人防[2019]13号</w:t>
            </w:r>
          </w:p>
        </w:tc>
      </w:tr>
    </w:tbl>
    <w:p>
      <w:pPr>
        <w:ind w:firstLine="560"/>
        <w:outlineLvl w:val="3"/>
      </w:pPr>
      <w:bookmarkStart w:id="22" w:name="_Toc_4_4_0000000025"/>
      <w:r>
        <w:rPr>
          <w:rFonts w:ascii="方正仿宋_GBK" w:hAnsi="方正仿宋_GBK" w:eastAsia="方正仿宋_GBK" w:cs="方正仿宋_GBK"/>
          <w:color w:val="000000"/>
          <w:sz w:val="28"/>
        </w:rPr>
        <w:t>22.市政设施维修维护费用绩效目标表</w:t>
      </w:r>
      <w:bookmarkEnd w:id="22"/>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通过对日常市政设施的维修维护工作，实现市政设施的正常使用及运转。</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实际完成检测次数</w:t>
            </w:r>
          </w:p>
        </w:tc>
        <w:tc>
          <w:tcPr>
            <w:tcW w:w="3544" w:type="dxa"/>
            <w:shd w:val="clear" w:color="auto" w:fill="auto"/>
          </w:tcPr>
          <w:p>
            <w:r>
              <w:rPr>
                <w:rFonts w:hint="eastAsia"/>
              </w:rPr>
              <w:t>对污水提升泵站进行专业检测的次数</w:t>
            </w:r>
          </w:p>
        </w:tc>
        <w:tc>
          <w:tcPr>
            <w:tcW w:w="1276" w:type="dxa"/>
            <w:shd w:val="clear" w:color="auto" w:fill="auto"/>
          </w:tcPr>
          <w:p>
            <w:r>
              <w:rPr>
                <w:rFonts w:hint="eastAsia"/>
              </w:rPr>
              <w:t>4次</w:t>
            </w:r>
          </w:p>
        </w:tc>
        <w:tc>
          <w:tcPr>
            <w:tcW w:w="4512" w:type="dxa"/>
            <w:shd w:val="clear" w:color="auto" w:fill="auto"/>
          </w:tcPr>
          <w:p>
            <w:r>
              <w:rPr>
                <w:rFonts w:hint="eastAsia"/>
              </w:rPr>
              <w:t>《三河市市政总公司设施维护实施方案》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《三河市市政总公司设施维护实施方案》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日常巡查维修及时率（%）</w:t>
            </w:r>
          </w:p>
        </w:tc>
        <w:tc>
          <w:tcPr>
            <w:tcW w:w="3544" w:type="dxa"/>
            <w:shd w:val="clear" w:color="auto" w:fill="auto"/>
          </w:tcPr>
          <w:p>
            <w:r>
              <w:rPr>
                <w:rFonts w:hint="eastAsia"/>
              </w:rPr>
              <w:t>有记录的巡查维修到场次数占规定巡查维修到场次数的比率</w:t>
            </w:r>
          </w:p>
        </w:tc>
        <w:tc>
          <w:tcPr>
            <w:tcW w:w="1276" w:type="dxa"/>
            <w:shd w:val="clear" w:color="auto" w:fill="auto"/>
          </w:tcPr>
          <w:p>
            <w:r>
              <w:rPr>
                <w:rFonts w:hint="eastAsia"/>
              </w:rPr>
              <w:t>≥100%</w:t>
            </w:r>
          </w:p>
        </w:tc>
        <w:tc>
          <w:tcPr>
            <w:tcW w:w="4512" w:type="dxa"/>
            <w:shd w:val="clear" w:color="auto" w:fill="auto"/>
          </w:tcPr>
          <w:p>
            <w:r>
              <w:rPr>
                <w:rFonts w:hint="eastAsia"/>
              </w:rPr>
              <w:t>《三河市市政总公司设施维护实施方案》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检测成本控制</w:t>
            </w:r>
          </w:p>
        </w:tc>
        <w:tc>
          <w:tcPr>
            <w:tcW w:w="3544" w:type="dxa"/>
            <w:shd w:val="clear" w:color="auto" w:fill="auto"/>
          </w:tcPr>
          <w:p>
            <w:r>
              <w:rPr>
                <w:rFonts w:hint="eastAsia"/>
              </w:rPr>
              <w:t>每座泵站专业检测单价</w:t>
            </w:r>
          </w:p>
        </w:tc>
        <w:tc>
          <w:tcPr>
            <w:tcW w:w="1276" w:type="dxa"/>
            <w:shd w:val="clear" w:color="auto" w:fill="auto"/>
          </w:tcPr>
          <w:p>
            <w:r>
              <w:rPr>
                <w:rFonts w:hint="eastAsia"/>
              </w:rPr>
              <w:t>≤3500元/座</w:t>
            </w:r>
          </w:p>
        </w:tc>
        <w:tc>
          <w:tcPr>
            <w:tcW w:w="4512" w:type="dxa"/>
            <w:shd w:val="clear" w:color="auto" w:fill="auto"/>
          </w:tcPr>
          <w:p>
            <w:r>
              <w:rPr>
                <w:rFonts w:hint="eastAsia"/>
              </w:rPr>
              <w:t>《三河市市政总公司设施维护实施方案》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基础设施完好率</w:t>
            </w:r>
          </w:p>
        </w:tc>
        <w:tc>
          <w:tcPr>
            <w:tcW w:w="3544" w:type="dxa"/>
            <w:shd w:val="clear" w:color="auto" w:fill="auto"/>
          </w:tcPr>
          <w:p>
            <w:r>
              <w:rPr>
                <w:rFonts w:hint="eastAsia"/>
              </w:rPr>
              <w:t>设备完好数量市场价值总额占设备总数量市场价值总额的比率</w:t>
            </w:r>
          </w:p>
        </w:tc>
        <w:tc>
          <w:tcPr>
            <w:tcW w:w="1276" w:type="dxa"/>
            <w:shd w:val="clear" w:color="auto" w:fill="auto"/>
          </w:tcPr>
          <w:p>
            <w:r>
              <w:rPr>
                <w:rFonts w:hint="eastAsia"/>
              </w:rPr>
              <w:t>≥90%</w:t>
            </w:r>
          </w:p>
        </w:tc>
        <w:tc>
          <w:tcPr>
            <w:tcW w:w="4512" w:type="dxa"/>
            <w:shd w:val="clear" w:color="auto" w:fill="auto"/>
          </w:tcPr>
          <w:p>
            <w:r>
              <w:rPr>
                <w:rFonts w:hint="eastAsia"/>
              </w:rPr>
              <w:t>《三河市市政总公司设施维护实施方案》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市区群众满意度（%）</w:t>
            </w:r>
          </w:p>
        </w:tc>
        <w:tc>
          <w:tcPr>
            <w:tcW w:w="3544" w:type="dxa"/>
            <w:shd w:val="clear" w:color="auto" w:fill="auto"/>
          </w:tcPr>
          <w:p>
            <w:r>
              <w:rPr>
                <w:rFonts w:hint="eastAsia"/>
              </w:rPr>
              <w:t>受益群体调查中，满意和较满意的人数占全部调查人数的比率</w:t>
            </w:r>
          </w:p>
        </w:tc>
        <w:tc>
          <w:tcPr>
            <w:tcW w:w="1276" w:type="dxa"/>
            <w:shd w:val="clear" w:color="auto" w:fill="auto"/>
          </w:tcPr>
          <w:p>
            <w:r>
              <w:rPr>
                <w:rFonts w:hint="eastAsia"/>
              </w:rPr>
              <w:t>≥90%</w:t>
            </w:r>
          </w:p>
        </w:tc>
        <w:tc>
          <w:tcPr>
            <w:tcW w:w="4512" w:type="dxa"/>
            <w:shd w:val="clear" w:color="auto" w:fill="auto"/>
          </w:tcPr>
          <w:p>
            <w:r>
              <w:rPr>
                <w:rFonts w:hint="eastAsia"/>
              </w:rPr>
              <w:t>满意度调查表</w:t>
            </w:r>
          </w:p>
        </w:tc>
      </w:tr>
    </w:tbl>
    <w:p>
      <w:pPr>
        <w:ind w:firstLine="560"/>
        <w:outlineLvl w:val="3"/>
      </w:pPr>
      <w:bookmarkStart w:id="23" w:name="_Toc_4_4_0000000026"/>
      <w:r>
        <w:rPr>
          <w:rFonts w:ascii="方正仿宋_GBK" w:hAnsi="方正仿宋_GBK" w:eastAsia="方正仿宋_GBK" w:cs="方正仿宋_GBK"/>
          <w:color w:val="000000"/>
          <w:sz w:val="28"/>
        </w:rPr>
        <w:t>23.物业补贴绩效目标表</w:t>
      </w:r>
      <w:bookmarkEnd w:id="23"/>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559"/>
        <w:gridCol w:w="42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提高局属物业小区管理水平，保障局属物业企业职工基本生活。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5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回迁户数量</w:t>
            </w:r>
          </w:p>
        </w:tc>
        <w:tc>
          <w:tcPr>
            <w:tcW w:w="3544" w:type="dxa"/>
            <w:shd w:val="clear" w:color="auto" w:fill="auto"/>
          </w:tcPr>
          <w:p>
            <w:r>
              <w:rPr>
                <w:rFonts w:hint="eastAsia"/>
              </w:rPr>
              <w:t>回迁户数量</w:t>
            </w:r>
          </w:p>
        </w:tc>
        <w:tc>
          <w:tcPr>
            <w:tcW w:w="1559" w:type="dxa"/>
            <w:shd w:val="clear" w:color="auto" w:fill="auto"/>
          </w:tcPr>
          <w:p>
            <w:r>
              <w:rPr>
                <w:rFonts w:hint="eastAsia"/>
              </w:rPr>
              <w:t>≤547家</w:t>
            </w:r>
          </w:p>
        </w:tc>
        <w:tc>
          <w:tcPr>
            <w:tcW w:w="4229" w:type="dxa"/>
            <w:shd w:val="clear" w:color="auto" w:fill="auto"/>
          </w:tcPr>
          <w:p>
            <w:r>
              <w:rPr>
                <w:rFonts w:hint="eastAsia"/>
              </w:rPr>
              <w:t>房产档案查询证明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物业服务合格率</w:t>
            </w:r>
          </w:p>
        </w:tc>
        <w:tc>
          <w:tcPr>
            <w:tcW w:w="3544" w:type="dxa"/>
            <w:shd w:val="clear" w:color="auto" w:fill="auto"/>
          </w:tcPr>
          <w:p>
            <w:r>
              <w:rPr>
                <w:rFonts w:hint="eastAsia"/>
              </w:rPr>
              <w:t>物业服务合格率</w:t>
            </w:r>
          </w:p>
        </w:tc>
        <w:tc>
          <w:tcPr>
            <w:tcW w:w="1559" w:type="dxa"/>
            <w:shd w:val="clear" w:color="auto" w:fill="auto"/>
          </w:tcPr>
          <w:p>
            <w:r>
              <w:rPr>
                <w:rFonts w:hint="eastAsia"/>
              </w:rPr>
              <w:t>≥95%</w:t>
            </w:r>
          </w:p>
        </w:tc>
        <w:tc>
          <w:tcPr>
            <w:tcW w:w="4229" w:type="dxa"/>
            <w:shd w:val="clear" w:color="auto" w:fill="auto"/>
          </w:tcPr>
          <w:p>
            <w:r>
              <w:rPr>
                <w:rFonts w:hint="eastAsia"/>
              </w:rPr>
              <w:t>物业服务标准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补贴发放及时率</w:t>
            </w:r>
          </w:p>
        </w:tc>
        <w:tc>
          <w:tcPr>
            <w:tcW w:w="3544" w:type="dxa"/>
            <w:shd w:val="clear" w:color="auto" w:fill="auto"/>
          </w:tcPr>
          <w:p>
            <w:r>
              <w:rPr>
                <w:rFonts w:hint="eastAsia"/>
              </w:rPr>
              <w:t>补贴发放及时率</w:t>
            </w:r>
          </w:p>
        </w:tc>
        <w:tc>
          <w:tcPr>
            <w:tcW w:w="1559" w:type="dxa"/>
            <w:shd w:val="clear" w:color="auto" w:fill="auto"/>
          </w:tcPr>
          <w:p>
            <w:r>
              <w:rPr>
                <w:rFonts w:hint="eastAsia"/>
              </w:rPr>
              <w:t>100%</w:t>
            </w:r>
          </w:p>
        </w:tc>
        <w:tc>
          <w:tcPr>
            <w:tcW w:w="4229" w:type="dxa"/>
            <w:shd w:val="clear" w:color="auto" w:fill="auto"/>
          </w:tcPr>
          <w:p>
            <w:r>
              <w:rPr>
                <w:rFonts w:hint="eastAsia"/>
              </w:rPr>
              <w:t>按照物业公司报送发放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每户回迁户补贴金额成本控制</w:t>
            </w:r>
          </w:p>
        </w:tc>
        <w:tc>
          <w:tcPr>
            <w:tcW w:w="3544" w:type="dxa"/>
            <w:shd w:val="clear" w:color="auto" w:fill="auto"/>
          </w:tcPr>
          <w:p>
            <w:r>
              <w:rPr>
                <w:rFonts w:hint="eastAsia"/>
              </w:rPr>
              <w:t>每户回迁户物业费补贴金额</w:t>
            </w:r>
          </w:p>
        </w:tc>
        <w:tc>
          <w:tcPr>
            <w:tcW w:w="1559" w:type="dxa"/>
            <w:shd w:val="clear" w:color="auto" w:fill="auto"/>
          </w:tcPr>
          <w:p>
            <w:r>
              <w:rPr>
                <w:rFonts w:hint="eastAsia"/>
              </w:rPr>
              <w:t>0.2元/平米/月</w:t>
            </w:r>
          </w:p>
        </w:tc>
        <w:tc>
          <w:tcPr>
            <w:tcW w:w="4229" w:type="dxa"/>
            <w:shd w:val="clear" w:color="auto" w:fill="auto"/>
          </w:tcPr>
          <w:p>
            <w:r>
              <w:rPr>
                <w:rFonts w:hint="eastAsia"/>
              </w:rPr>
              <w:t>房产档案查询证明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隐患消除及时率（%）</w:t>
            </w:r>
          </w:p>
        </w:tc>
        <w:tc>
          <w:tcPr>
            <w:tcW w:w="3544" w:type="dxa"/>
            <w:shd w:val="clear" w:color="auto" w:fill="auto"/>
          </w:tcPr>
          <w:p>
            <w:r>
              <w:rPr>
                <w:rFonts w:hint="eastAsia"/>
              </w:rPr>
              <w:t>通过维护改造，及时消除安全隐患占存在安全隐患的比率</w:t>
            </w:r>
          </w:p>
        </w:tc>
        <w:tc>
          <w:tcPr>
            <w:tcW w:w="1559" w:type="dxa"/>
            <w:shd w:val="clear" w:color="auto" w:fill="auto"/>
          </w:tcPr>
          <w:p>
            <w:r>
              <w:rPr>
                <w:rFonts w:hint="eastAsia"/>
              </w:rPr>
              <w:t>100%</w:t>
            </w:r>
          </w:p>
        </w:tc>
        <w:tc>
          <w:tcPr>
            <w:tcW w:w="4229" w:type="dxa"/>
            <w:shd w:val="clear" w:color="auto" w:fill="auto"/>
          </w:tcPr>
          <w:p>
            <w:r>
              <w:rPr>
                <w:rFonts w:hint="eastAsia"/>
              </w:rPr>
              <w:t>《巡查记录》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服务对象满意度指标</w:t>
            </w:r>
          </w:p>
        </w:tc>
        <w:tc>
          <w:tcPr>
            <w:tcW w:w="3544" w:type="dxa"/>
            <w:shd w:val="clear" w:color="auto" w:fill="auto"/>
          </w:tcPr>
          <w:p>
            <w:r>
              <w:rPr>
                <w:rFonts w:hint="eastAsia"/>
              </w:rPr>
              <w:t>受益对象满意度</w:t>
            </w:r>
          </w:p>
        </w:tc>
        <w:tc>
          <w:tcPr>
            <w:tcW w:w="1559" w:type="dxa"/>
            <w:shd w:val="clear" w:color="auto" w:fill="auto"/>
          </w:tcPr>
          <w:p>
            <w:r>
              <w:rPr>
                <w:rFonts w:hint="eastAsia"/>
              </w:rPr>
              <w:t>≥90%</w:t>
            </w:r>
          </w:p>
        </w:tc>
        <w:tc>
          <w:tcPr>
            <w:tcW w:w="4229" w:type="dxa"/>
            <w:shd w:val="clear" w:color="auto" w:fill="auto"/>
          </w:tcPr>
          <w:p>
            <w:r>
              <w:rPr>
                <w:rFonts w:hint="eastAsia"/>
              </w:rPr>
              <w:t>满意度调查表</w:t>
            </w:r>
          </w:p>
        </w:tc>
      </w:tr>
    </w:tbl>
    <w:p>
      <w:pPr>
        <w:ind w:firstLine="560"/>
        <w:outlineLvl w:val="3"/>
      </w:pPr>
      <w:bookmarkStart w:id="24" w:name="_Toc_4_4_0000000027"/>
      <w:r>
        <w:rPr>
          <w:rFonts w:ascii="方正仿宋_GBK" w:hAnsi="方正仿宋_GBK" w:eastAsia="方正仿宋_GBK" w:cs="方正仿宋_GBK"/>
          <w:color w:val="000000"/>
          <w:sz w:val="28"/>
        </w:rPr>
        <w:t>24.物业行业管理经费绩效目标表</w:t>
      </w:r>
      <w:bookmarkEnd w:id="24"/>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加强物业企业管理，使物业小区居民拥有良好的居住环境，加强住宅专项维修资金的监管，加强物业小区日常巡查，维护小区和谐稳定。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p>
            <w:pPr>
              <w:spacing w:line="300" w:lineRule="exact"/>
              <w:jc w:val="center"/>
              <w:rPr>
                <w:rFonts w:ascii="Times New Roman" w:hAnsi="Times New Roman" w:eastAsia="仿宋_GB2312" w:cs="Times New Roman"/>
              </w:rPr>
            </w:pPr>
          </w:p>
        </w:tc>
        <w:tc>
          <w:tcPr>
            <w:tcW w:w="1417" w:type="dxa"/>
            <w:shd w:val="clear" w:color="auto" w:fill="auto"/>
          </w:tcPr>
          <w:p>
            <w:r>
              <w:rPr>
                <w:rFonts w:hint="eastAsia"/>
              </w:rPr>
              <w:t>数量指标</w:t>
            </w:r>
          </w:p>
        </w:tc>
        <w:tc>
          <w:tcPr>
            <w:tcW w:w="1843" w:type="dxa"/>
            <w:shd w:val="clear" w:color="auto" w:fill="auto"/>
          </w:tcPr>
          <w:p>
            <w:r>
              <w:rPr>
                <w:rFonts w:hint="eastAsia"/>
              </w:rPr>
              <w:t>辖区内管理物业小区数量</w:t>
            </w:r>
          </w:p>
        </w:tc>
        <w:tc>
          <w:tcPr>
            <w:tcW w:w="3544" w:type="dxa"/>
            <w:shd w:val="clear" w:color="auto" w:fill="auto"/>
          </w:tcPr>
          <w:p>
            <w:r>
              <w:rPr>
                <w:rFonts w:hint="eastAsia"/>
              </w:rPr>
              <w:t>辖区内管理物业小区数量</w:t>
            </w:r>
          </w:p>
        </w:tc>
        <w:tc>
          <w:tcPr>
            <w:tcW w:w="1276" w:type="dxa"/>
            <w:shd w:val="clear" w:color="auto" w:fill="auto"/>
          </w:tcPr>
          <w:p>
            <w:r>
              <w:rPr>
                <w:rFonts w:hint="eastAsia"/>
              </w:rPr>
              <w:t>≥90家</w:t>
            </w:r>
          </w:p>
        </w:tc>
        <w:tc>
          <w:tcPr>
            <w:tcW w:w="4512" w:type="dxa"/>
            <w:shd w:val="clear" w:color="auto" w:fill="auto"/>
          </w:tcPr>
          <w:p>
            <w:r>
              <w:rPr>
                <w:rFonts w:hint="eastAsia"/>
              </w:rPr>
              <w:t>物业小区名录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数量指标</w:t>
            </w:r>
          </w:p>
        </w:tc>
        <w:tc>
          <w:tcPr>
            <w:tcW w:w="1843" w:type="dxa"/>
            <w:shd w:val="clear" w:color="auto" w:fill="auto"/>
          </w:tcPr>
          <w:p>
            <w:r>
              <w:rPr>
                <w:rFonts w:hint="eastAsia"/>
              </w:rPr>
              <w:t>大气污染防治小区数量</w:t>
            </w:r>
          </w:p>
        </w:tc>
        <w:tc>
          <w:tcPr>
            <w:tcW w:w="3544" w:type="dxa"/>
            <w:shd w:val="clear" w:color="auto" w:fill="auto"/>
          </w:tcPr>
          <w:p>
            <w:r>
              <w:rPr>
                <w:rFonts w:hint="eastAsia"/>
              </w:rPr>
              <w:t>大气污染防治小区数量</w:t>
            </w:r>
          </w:p>
        </w:tc>
        <w:tc>
          <w:tcPr>
            <w:tcW w:w="1276" w:type="dxa"/>
            <w:shd w:val="clear" w:color="auto" w:fill="auto"/>
          </w:tcPr>
          <w:p>
            <w:r>
              <w:rPr>
                <w:rFonts w:hint="eastAsia"/>
              </w:rPr>
              <w:t>4个</w:t>
            </w:r>
          </w:p>
        </w:tc>
        <w:tc>
          <w:tcPr>
            <w:tcW w:w="4512" w:type="dxa"/>
            <w:shd w:val="clear" w:color="auto" w:fill="auto"/>
          </w:tcPr>
          <w:p>
            <w:r>
              <w:rPr>
                <w:rFonts w:hint="eastAsia"/>
              </w:rPr>
              <w:t>合同目录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大气污染防治每个小区成本</w:t>
            </w:r>
          </w:p>
        </w:tc>
        <w:tc>
          <w:tcPr>
            <w:tcW w:w="3544" w:type="dxa"/>
            <w:shd w:val="clear" w:color="auto" w:fill="auto"/>
          </w:tcPr>
          <w:p>
            <w:r>
              <w:rPr>
                <w:rFonts w:hint="eastAsia"/>
              </w:rPr>
              <w:t>大气污染防治每个小区成本</w:t>
            </w:r>
          </w:p>
        </w:tc>
        <w:tc>
          <w:tcPr>
            <w:tcW w:w="1276" w:type="dxa"/>
            <w:shd w:val="clear" w:color="auto" w:fill="auto"/>
          </w:tcPr>
          <w:p>
            <w:r>
              <w:rPr>
                <w:rFonts w:hint="eastAsia"/>
              </w:rPr>
              <w:t>≤4万元</w:t>
            </w:r>
          </w:p>
        </w:tc>
        <w:tc>
          <w:tcPr>
            <w:tcW w:w="4512" w:type="dxa"/>
            <w:shd w:val="clear" w:color="auto" w:fill="auto"/>
          </w:tcPr>
          <w:p>
            <w:r>
              <w:rPr>
                <w:rFonts w:hint="eastAsia"/>
              </w:rPr>
              <w:t>合同需求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足额发放工资</w:t>
            </w:r>
          </w:p>
        </w:tc>
        <w:tc>
          <w:tcPr>
            <w:tcW w:w="3544" w:type="dxa"/>
            <w:shd w:val="clear" w:color="auto" w:fill="auto"/>
          </w:tcPr>
          <w:p>
            <w:r>
              <w:rPr>
                <w:rFonts w:hint="eastAsia"/>
              </w:rPr>
              <w:t>按照管理办法足额发放</w:t>
            </w:r>
          </w:p>
        </w:tc>
        <w:tc>
          <w:tcPr>
            <w:tcW w:w="1276" w:type="dxa"/>
            <w:shd w:val="clear" w:color="auto" w:fill="auto"/>
          </w:tcPr>
          <w:p>
            <w:r>
              <w:rPr>
                <w:rFonts w:hint="eastAsia"/>
              </w:rPr>
              <w:t>12次</w:t>
            </w:r>
          </w:p>
        </w:tc>
        <w:tc>
          <w:tcPr>
            <w:tcW w:w="4512" w:type="dxa"/>
            <w:shd w:val="clear" w:color="auto" w:fill="auto"/>
          </w:tcPr>
          <w:p>
            <w:r>
              <w:rPr>
                <w:rFonts w:hint="eastAsia"/>
              </w:rPr>
              <w:t>劳务派遣人员管理办法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按时发放工资及时率</w:t>
            </w:r>
          </w:p>
        </w:tc>
        <w:tc>
          <w:tcPr>
            <w:tcW w:w="3544" w:type="dxa"/>
            <w:shd w:val="clear" w:color="auto" w:fill="auto"/>
          </w:tcPr>
          <w:p>
            <w:r>
              <w:rPr>
                <w:rFonts w:hint="eastAsia"/>
              </w:rPr>
              <w:t>按时发放劳务人员工资及时率</w:t>
            </w:r>
          </w:p>
        </w:tc>
        <w:tc>
          <w:tcPr>
            <w:tcW w:w="1276" w:type="dxa"/>
            <w:shd w:val="clear" w:color="auto" w:fill="auto"/>
          </w:tcPr>
          <w:p>
            <w:r>
              <w:rPr>
                <w:rFonts w:hint="eastAsia"/>
              </w:rPr>
              <w:t>100%</w:t>
            </w:r>
          </w:p>
        </w:tc>
        <w:tc>
          <w:tcPr>
            <w:tcW w:w="4512" w:type="dxa"/>
            <w:shd w:val="clear" w:color="auto" w:fill="auto"/>
          </w:tcPr>
          <w:p>
            <w:r>
              <w:rPr>
                <w:rFonts w:hint="eastAsia"/>
              </w:rPr>
              <w:t>劳务派遣人员管理办法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巡查辖区内物业小区成本</w:t>
            </w:r>
          </w:p>
        </w:tc>
        <w:tc>
          <w:tcPr>
            <w:tcW w:w="3544" w:type="dxa"/>
            <w:shd w:val="clear" w:color="auto" w:fill="auto"/>
          </w:tcPr>
          <w:p>
            <w:r>
              <w:rPr>
                <w:rFonts w:hint="eastAsia"/>
              </w:rPr>
              <w:t>巡查辖区内物业小区成本</w:t>
            </w:r>
          </w:p>
        </w:tc>
        <w:tc>
          <w:tcPr>
            <w:tcW w:w="1276" w:type="dxa"/>
            <w:shd w:val="clear" w:color="auto" w:fill="auto"/>
          </w:tcPr>
          <w:p>
            <w:r>
              <w:rPr>
                <w:rFonts w:hint="eastAsia"/>
              </w:rPr>
              <w:t>≤10.16万元</w:t>
            </w:r>
          </w:p>
        </w:tc>
        <w:tc>
          <w:tcPr>
            <w:tcW w:w="4512" w:type="dxa"/>
            <w:shd w:val="clear" w:color="auto" w:fill="auto"/>
          </w:tcPr>
          <w:p>
            <w:r>
              <w:rPr>
                <w:rFonts w:hint="eastAsia"/>
              </w:rPr>
              <w:t>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对物业健康发展的改善情况</w:t>
            </w:r>
          </w:p>
        </w:tc>
        <w:tc>
          <w:tcPr>
            <w:tcW w:w="3544" w:type="dxa"/>
            <w:shd w:val="clear" w:color="auto" w:fill="auto"/>
          </w:tcPr>
          <w:p>
            <w:r>
              <w:rPr>
                <w:rFonts w:hint="eastAsia"/>
              </w:rPr>
              <w:t>通项目开展，对物业健康发展的改善情况</w:t>
            </w:r>
          </w:p>
        </w:tc>
        <w:tc>
          <w:tcPr>
            <w:tcW w:w="1276" w:type="dxa"/>
            <w:shd w:val="clear" w:color="auto" w:fill="auto"/>
          </w:tcPr>
          <w:p>
            <w:r>
              <w:rPr>
                <w:rFonts w:hint="eastAsia"/>
              </w:rPr>
              <w:t>有所改善</w:t>
            </w:r>
          </w:p>
        </w:tc>
        <w:tc>
          <w:tcPr>
            <w:tcW w:w="4512" w:type="dxa"/>
            <w:shd w:val="clear" w:color="auto" w:fill="auto"/>
          </w:tcPr>
          <w:p>
            <w:r>
              <w:rPr>
                <w:rFonts w:hint="eastAsia"/>
              </w:rPr>
              <w:t>《物业管理条例》国务院令【2007】第504号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对使用人员调查中满意人数占调查总人数的比例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问卷调查</w:t>
            </w:r>
          </w:p>
        </w:tc>
      </w:tr>
    </w:tbl>
    <w:p>
      <w:pPr>
        <w:ind w:firstLine="560"/>
        <w:outlineLvl w:val="3"/>
      </w:pPr>
      <w:bookmarkStart w:id="25" w:name="_Toc_4_4_0000000028"/>
      <w:r>
        <w:rPr>
          <w:rFonts w:ascii="方正仿宋_GBK" w:hAnsi="方正仿宋_GBK" w:eastAsia="方正仿宋_GBK" w:cs="方正仿宋_GBK"/>
          <w:color w:val="000000"/>
          <w:sz w:val="28"/>
        </w:rPr>
        <w:t>25.信访工作经费绩效目标表</w:t>
      </w:r>
      <w:bookmarkEnd w:id="25"/>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2126"/>
        <w:gridCol w:w="2835"/>
        <w:gridCol w:w="3119"/>
        <w:gridCol w:w="1417"/>
        <w:gridCol w:w="3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解决机关信访问题，保障工作正常运转。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9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26" w:type="dxa"/>
            <w:shd w:val="clear" w:color="auto" w:fill="auto"/>
          </w:tcPr>
          <w:p>
            <w:r>
              <w:rPr>
                <w:rFonts w:hint="eastAsia"/>
              </w:rPr>
              <w:t>数量指标</w:t>
            </w:r>
          </w:p>
        </w:tc>
        <w:tc>
          <w:tcPr>
            <w:tcW w:w="2835" w:type="dxa"/>
            <w:shd w:val="clear" w:color="auto" w:fill="auto"/>
          </w:tcPr>
          <w:p>
            <w:r>
              <w:rPr>
                <w:rFonts w:hint="eastAsia"/>
              </w:rPr>
              <w:t>信访问题解决数</w:t>
            </w:r>
          </w:p>
        </w:tc>
        <w:tc>
          <w:tcPr>
            <w:tcW w:w="3119" w:type="dxa"/>
            <w:shd w:val="clear" w:color="auto" w:fill="auto"/>
          </w:tcPr>
          <w:p>
            <w:r>
              <w:rPr>
                <w:rFonts w:hint="eastAsia"/>
              </w:rPr>
              <w:t>信访问题解决数</w:t>
            </w:r>
          </w:p>
        </w:tc>
        <w:tc>
          <w:tcPr>
            <w:tcW w:w="1417" w:type="dxa"/>
            <w:shd w:val="clear" w:color="auto" w:fill="auto"/>
          </w:tcPr>
          <w:p>
            <w:r>
              <w:rPr>
                <w:rFonts w:hint="eastAsia"/>
              </w:rPr>
              <w:t>≥1件</w:t>
            </w:r>
          </w:p>
        </w:tc>
        <w:tc>
          <w:tcPr>
            <w:tcW w:w="3095" w:type="dxa"/>
            <w:shd w:val="clear" w:color="auto" w:fill="auto"/>
          </w:tcPr>
          <w:p>
            <w:r>
              <w:rPr>
                <w:rFonts w:hint="eastAsia"/>
              </w:rPr>
              <w:t>信访数量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2126" w:type="dxa"/>
            <w:shd w:val="clear" w:color="auto" w:fill="auto"/>
          </w:tcPr>
          <w:p>
            <w:r>
              <w:rPr>
                <w:rFonts w:hint="eastAsia"/>
              </w:rPr>
              <w:t>质量指标</w:t>
            </w:r>
          </w:p>
        </w:tc>
        <w:tc>
          <w:tcPr>
            <w:tcW w:w="2835" w:type="dxa"/>
            <w:shd w:val="clear" w:color="auto" w:fill="auto"/>
          </w:tcPr>
          <w:p>
            <w:r>
              <w:rPr>
                <w:rFonts w:hint="eastAsia"/>
              </w:rPr>
              <w:t>满足信访人的需求</w:t>
            </w:r>
          </w:p>
        </w:tc>
        <w:tc>
          <w:tcPr>
            <w:tcW w:w="3119" w:type="dxa"/>
            <w:shd w:val="clear" w:color="auto" w:fill="auto"/>
          </w:tcPr>
          <w:p>
            <w:r>
              <w:rPr>
                <w:rFonts w:hint="eastAsia"/>
              </w:rPr>
              <w:t>满足信访人员的需求</w:t>
            </w:r>
          </w:p>
        </w:tc>
        <w:tc>
          <w:tcPr>
            <w:tcW w:w="1417" w:type="dxa"/>
            <w:shd w:val="clear" w:color="auto" w:fill="auto"/>
          </w:tcPr>
          <w:p>
            <w:r>
              <w:rPr>
                <w:rFonts w:hint="eastAsia"/>
              </w:rPr>
              <w:t>≥90%</w:t>
            </w:r>
          </w:p>
        </w:tc>
        <w:tc>
          <w:tcPr>
            <w:tcW w:w="3095" w:type="dxa"/>
            <w:shd w:val="clear" w:color="auto" w:fill="auto"/>
          </w:tcPr>
          <w:p>
            <w:r>
              <w:rPr>
                <w:rFonts w:hint="eastAsia"/>
              </w:rPr>
              <w:t>信访人员需求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2126" w:type="dxa"/>
            <w:shd w:val="clear" w:color="auto" w:fill="auto"/>
          </w:tcPr>
          <w:p>
            <w:r>
              <w:rPr>
                <w:rFonts w:hint="eastAsia"/>
              </w:rPr>
              <w:t>时效指标</w:t>
            </w:r>
          </w:p>
        </w:tc>
        <w:tc>
          <w:tcPr>
            <w:tcW w:w="2835" w:type="dxa"/>
            <w:shd w:val="clear" w:color="auto" w:fill="auto"/>
          </w:tcPr>
          <w:p>
            <w:r>
              <w:rPr>
                <w:rFonts w:hint="eastAsia"/>
              </w:rPr>
              <w:t xml:space="preserve"> 处理信访事件的及时性</w:t>
            </w:r>
          </w:p>
        </w:tc>
        <w:tc>
          <w:tcPr>
            <w:tcW w:w="3119" w:type="dxa"/>
            <w:shd w:val="clear" w:color="auto" w:fill="auto"/>
          </w:tcPr>
          <w:p>
            <w:r>
              <w:rPr>
                <w:rFonts w:hint="eastAsia"/>
              </w:rPr>
              <w:t>及时处理信访事件</w:t>
            </w:r>
          </w:p>
        </w:tc>
        <w:tc>
          <w:tcPr>
            <w:tcW w:w="1417" w:type="dxa"/>
            <w:shd w:val="clear" w:color="auto" w:fill="auto"/>
          </w:tcPr>
          <w:p>
            <w:r>
              <w:rPr>
                <w:rFonts w:hint="eastAsia"/>
              </w:rPr>
              <w:t>100%</w:t>
            </w:r>
          </w:p>
        </w:tc>
        <w:tc>
          <w:tcPr>
            <w:tcW w:w="3095" w:type="dxa"/>
            <w:shd w:val="clear" w:color="auto" w:fill="auto"/>
          </w:tcPr>
          <w:p>
            <w:r>
              <w:rPr>
                <w:rFonts w:hint="eastAsia"/>
              </w:rPr>
              <w:t>及时处理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2126" w:type="dxa"/>
            <w:shd w:val="clear" w:color="auto" w:fill="auto"/>
          </w:tcPr>
          <w:p>
            <w:r>
              <w:rPr>
                <w:rFonts w:hint="eastAsia"/>
              </w:rPr>
              <w:t>成本指标</w:t>
            </w:r>
          </w:p>
        </w:tc>
        <w:tc>
          <w:tcPr>
            <w:tcW w:w="2835" w:type="dxa"/>
            <w:shd w:val="clear" w:color="auto" w:fill="auto"/>
          </w:tcPr>
          <w:p>
            <w:r>
              <w:rPr>
                <w:rFonts w:hint="eastAsia"/>
              </w:rPr>
              <w:t>解决一件信访问题的单位成本</w:t>
            </w:r>
          </w:p>
        </w:tc>
        <w:tc>
          <w:tcPr>
            <w:tcW w:w="3119" w:type="dxa"/>
            <w:shd w:val="clear" w:color="auto" w:fill="auto"/>
          </w:tcPr>
          <w:p>
            <w:r>
              <w:rPr>
                <w:rFonts w:hint="eastAsia"/>
              </w:rPr>
              <w:t>解决一件信访问题的单位成本</w:t>
            </w:r>
          </w:p>
        </w:tc>
        <w:tc>
          <w:tcPr>
            <w:tcW w:w="1417" w:type="dxa"/>
            <w:shd w:val="clear" w:color="auto" w:fill="auto"/>
          </w:tcPr>
          <w:p>
            <w:r>
              <w:rPr>
                <w:rFonts w:hint="eastAsia"/>
              </w:rPr>
              <w:t>≤18万元</w:t>
            </w:r>
          </w:p>
        </w:tc>
        <w:tc>
          <w:tcPr>
            <w:tcW w:w="3095" w:type="dxa"/>
            <w:shd w:val="clear" w:color="auto" w:fill="auto"/>
          </w:tcPr>
          <w:p>
            <w:r>
              <w:rPr>
                <w:rFonts w:hint="eastAsia"/>
              </w:rPr>
              <w:t>信访问题的成本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26" w:type="dxa"/>
            <w:shd w:val="clear" w:color="auto" w:fill="auto"/>
          </w:tcPr>
          <w:p>
            <w:r>
              <w:rPr>
                <w:rFonts w:hint="eastAsia"/>
              </w:rPr>
              <w:t>社会效益指标</w:t>
            </w:r>
          </w:p>
        </w:tc>
        <w:tc>
          <w:tcPr>
            <w:tcW w:w="2835" w:type="dxa"/>
            <w:shd w:val="clear" w:color="auto" w:fill="auto"/>
          </w:tcPr>
          <w:p>
            <w:r>
              <w:rPr>
                <w:rFonts w:hint="eastAsia"/>
              </w:rPr>
              <w:t>信访问题的改善与提升</w:t>
            </w:r>
          </w:p>
        </w:tc>
        <w:tc>
          <w:tcPr>
            <w:tcW w:w="3119" w:type="dxa"/>
            <w:shd w:val="clear" w:color="auto" w:fill="auto"/>
          </w:tcPr>
          <w:p>
            <w:r>
              <w:rPr>
                <w:rFonts w:hint="eastAsia"/>
              </w:rPr>
              <w:t>信访问题的改善与提升</w:t>
            </w:r>
          </w:p>
        </w:tc>
        <w:tc>
          <w:tcPr>
            <w:tcW w:w="1417" w:type="dxa"/>
            <w:shd w:val="clear" w:color="auto" w:fill="auto"/>
          </w:tcPr>
          <w:p>
            <w:r>
              <w:rPr>
                <w:rFonts w:hint="eastAsia"/>
              </w:rPr>
              <w:t>100%</w:t>
            </w:r>
          </w:p>
        </w:tc>
        <w:tc>
          <w:tcPr>
            <w:tcW w:w="3095" w:type="dxa"/>
            <w:shd w:val="clear" w:color="auto" w:fill="auto"/>
          </w:tcPr>
          <w:p>
            <w:r>
              <w:rPr>
                <w:rFonts w:hint="eastAsia"/>
              </w:rPr>
              <w:t>信访次数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26" w:type="dxa"/>
            <w:shd w:val="clear" w:color="auto" w:fill="auto"/>
          </w:tcPr>
          <w:p>
            <w:r>
              <w:rPr>
                <w:rFonts w:hint="eastAsia"/>
              </w:rPr>
              <w:t>服务对象满意度指标</w:t>
            </w:r>
          </w:p>
        </w:tc>
        <w:tc>
          <w:tcPr>
            <w:tcW w:w="2835" w:type="dxa"/>
            <w:shd w:val="clear" w:color="auto" w:fill="auto"/>
          </w:tcPr>
          <w:p>
            <w:r>
              <w:rPr>
                <w:rFonts w:hint="eastAsia"/>
              </w:rPr>
              <w:t>信访群众满意度</w:t>
            </w:r>
          </w:p>
        </w:tc>
        <w:tc>
          <w:tcPr>
            <w:tcW w:w="3119" w:type="dxa"/>
            <w:shd w:val="clear" w:color="auto" w:fill="auto"/>
          </w:tcPr>
          <w:p>
            <w:r>
              <w:rPr>
                <w:rFonts w:hint="eastAsia"/>
              </w:rPr>
              <w:t>信访群众满意度</w:t>
            </w:r>
          </w:p>
        </w:tc>
        <w:tc>
          <w:tcPr>
            <w:tcW w:w="1417" w:type="dxa"/>
            <w:shd w:val="clear" w:color="auto" w:fill="auto"/>
          </w:tcPr>
          <w:p>
            <w:r>
              <w:rPr>
                <w:rFonts w:hint="eastAsia"/>
              </w:rPr>
              <w:t>≥90%</w:t>
            </w:r>
          </w:p>
        </w:tc>
        <w:tc>
          <w:tcPr>
            <w:tcW w:w="3095" w:type="dxa"/>
            <w:shd w:val="clear" w:color="auto" w:fill="auto"/>
          </w:tcPr>
          <w:p>
            <w:r>
              <w:rPr>
                <w:rFonts w:hint="eastAsia"/>
              </w:rPr>
              <w:t>进行口头回访</w:t>
            </w:r>
          </w:p>
        </w:tc>
      </w:tr>
    </w:tbl>
    <w:p>
      <w:pPr>
        <w:ind w:firstLine="560"/>
        <w:outlineLvl w:val="3"/>
      </w:pPr>
      <w:bookmarkStart w:id="26" w:name="_Toc_4_4_0000000029"/>
      <w:r>
        <w:rPr>
          <w:rFonts w:ascii="方正仿宋_GBK" w:hAnsi="方正仿宋_GBK" w:eastAsia="方正仿宋_GBK" w:cs="方正仿宋_GBK"/>
          <w:color w:val="000000"/>
          <w:sz w:val="28"/>
        </w:rPr>
        <w:t>26.园林浇水车辆购置费绩效目标表</w:t>
      </w:r>
      <w:bookmarkEnd w:id="26"/>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通过项目的开展，利用水车运水提供水源，满足园林植物正常生长需要。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采购车辆数量</w:t>
            </w:r>
          </w:p>
        </w:tc>
        <w:tc>
          <w:tcPr>
            <w:tcW w:w="3544" w:type="dxa"/>
            <w:shd w:val="clear" w:color="auto" w:fill="auto"/>
          </w:tcPr>
          <w:p>
            <w:r>
              <w:rPr>
                <w:rFonts w:hint="eastAsia"/>
              </w:rPr>
              <w:t>采购车辆数量</w:t>
            </w:r>
          </w:p>
        </w:tc>
        <w:tc>
          <w:tcPr>
            <w:tcW w:w="1276" w:type="dxa"/>
            <w:shd w:val="clear" w:color="auto" w:fill="auto"/>
          </w:tcPr>
          <w:p>
            <w:r>
              <w:rPr>
                <w:rFonts w:hint="eastAsia"/>
              </w:rPr>
              <w:t>2辆</w:t>
            </w:r>
          </w:p>
        </w:tc>
        <w:tc>
          <w:tcPr>
            <w:tcW w:w="4512" w:type="dxa"/>
            <w:shd w:val="clear" w:color="auto" w:fill="auto"/>
          </w:tcPr>
          <w:p>
            <w:r>
              <w:rPr>
                <w:rFonts w:hint="eastAsia"/>
              </w:rP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车辆各项指标</w:t>
            </w:r>
          </w:p>
        </w:tc>
        <w:tc>
          <w:tcPr>
            <w:tcW w:w="3544" w:type="dxa"/>
            <w:shd w:val="clear" w:color="auto" w:fill="auto"/>
          </w:tcPr>
          <w:p>
            <w:r>
              <w:rPr>
                <w:rFonts w:hint="eastAsia"/>
              </w:rPr>
              <w:t>车辆性能及其他各项参数达标率</w:t>
            </w:r>
          </w:p>
        </w:tc>
        <w:tc>
          <w:tcPr>
            <w:tcW w:w="1276" w:type="dxa"/>
            <w:shd w:val="clear" w:color="auto" w:fill="auto"/>
          </w:tcPr>
          <w:p>
            <w:r>
              <w:rPr>
                <w:rFonts w:hint="eastAsia"/>
              </w:rPr>
              <w:t>100%</w:t>
            </w:r>
          </w:p>
        </w:tc>
        <w:tc>
          <w:tcPr>
            <w:tcW w:w="4512"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资金支付及时率</w:t>
            </w:r>
          </w:p>
        </w:tc>
        <w:tc>
          <w:tcPr>
            <w:tcW w:w="3544" w:type="dxa"/>
            <w:shd w:val="clear" w:color="auto" w:fill="auto"/>
          </w:tcPr>
          <w:p>
            <w:r>
              <w:rPr>
                <w:rFonts w:hint="eastAsia"/>
              </w:rPr>
              <w:t>资金支付及时率</w:t>
            </w:r>
          </w:p>
        </w:tc>
        <w:tc>
          <w:tcPr>
            <w:tcW w:w="1276" w:type="dxa"/>
            <w:shd w:val="clear" w:color="auto" w:fill="auto"/>
          </w:tcPr>
          <w:p>
            <w:r>
              <w:rPr>
                <w:rFonts w:hint="eastAsia"/>
              </w:rPr>
              <w:t>100%</w:t>
            </w:r>
          </w:p>
        </w:tc>
        <w:tc>
          <w:tcPr>
            <w:tcW w:w="4512"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每辆车的采购成本</w:t>
            </w:r>
          </w:p>
        </w:tc>
        <w:tc>
          <w:tcPr>
            <w:tcW w:w="3544" w:type="dxa"/>
            <w:shd w:val="clear" w:color="auto" w:fill="auto"/>
          </w:tcPr>
          <w:p>
            <w:r>
              <w:rPr>
                <w:rFonts w:hint="eastAsia"/>
              </w:rPr>
              <w:t>每辆车的采购成本</w:t>
            </w:r>
          </w:p>
        </w:tc>
        <w:tc>
          <w:tcPr>
            <w:tcW w:w="1276" w:type="dxa"/>
            <w:shd w:val="clear" w:color="auto" w:fill="auto"/>
          </w:tcPr>
          <w:p>
            <w:r>
              <w:rPr>
                <w:rFonts w:hint="eastAsia"/>
              </w:rPr>
              <w:t>≤36万元</w:t>
            </w:r>
          </w:p>
        </w:tc>
        <w:tc>
          <w:tcPr>
            <w:tcW w:w="4512"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隐患消除及时率</w:t>
            </w:r>
          </w:p>
        </w:tc>
        <w:tc>
          <w:tcPr>
            <w:tcW w:w="3544" w:type="dxa"/>
            <w:shd w:val="clear" w:color="auto" w:fill="auto"/>
          </w:tcPr>
          <w:p>
            <w:r>
              <w:rPr>
                <w:rFonts w:hint="eastAsia"/>
              </w:rPr>
              <w:t>及时消除车辆故障占存在故障的比率</w:t>
            </w:r>
          </w:p>
        </w:tc>
        <w:tc>
          <w:tcPr>
            <w:tcW w:w="1276" w:type="dxa"/>
            <w:shd w:val="clear" w:color="auto" w:fill="auto"/>
          </w:tcPr>
          <w:p>
            <w:r>
              <w:rPr>
                <w:rFonts w:hint="eastAsia"/>
              </w:rPr>
              <w:t>100%</w:t>
            </w:r>
          </w:p>
        </w:tc>
        <w:tc>
          <w:tcPr>
            <w:tcW w:w="4512" w:type="dxa"/>
            <w:shd w:val="clear" w:color="auto" w:fill="auto"/>
          </w:tcPr>
          <w:p>
            <w:r>
              <w:rPr>
                <w:rFonts w:hint="eastAsia"/>
              </w:rP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服务对象满意度</w:t>
            </w:r>
          </w:p>
        </w:tc>
        <w:tc>
          <w:tcPr>
            <w:tcW w:w="3544" w:type="dxa"/>
            <w:shd w:val="clear" w:color="auto" w:fill="auto"/>
          </w:tcPr>
          <w:p>
            <w:r>
              <w:rPr>
                <w:rFonts w:hint="eastAsia"/>
              </w:rPr>
              <w:t>服务对象满意度</w:t>
            </w:r>
          </w:p>
        </w:tc>
        <w:tc>
          <w:tcPr>
            <w:tcW w:w="1276" w:type="dxa"/>
            <w:shd w:val="clear" w:color="auto" w:fill="auto"/>
          </w:tcPr>
          <w:p>
            <w:r>
              <w:rPr>
                <w:rFonts w:hint="eastAsia"/>
              </w:rPr>
              <w:t>≥95%</w:t>
            </w:r>
          </w:p>
        </w:tc>
        <w:tc>
          <w:tcPr>
            <w:tcW w:w="4512" w:type="dxa"/>
            <w:shd w:val="clear" w:color="auto" w:fill="auto"/>
          </w:tcPr>
          <w:p>
            <w:r>
              <w:rPr>
                <w:rFonts w:hint="eastAsia"/>
              </w:rPr>
              <w:t>满意度调查表</w:t>
            </w:r>
          </w:p>
        </w:tc>
      </w:tr>
    </w:tbl>
    <w:p>
      <w:pPr>
        <w:ind w:firstLine="560"/>
        <w:outlineLvl w:val="3"/>
      </w:pPr>
      <w:bookmarkStart w:id="27" w:name="_Toc_4_4_0000000030"/>
      <w:r>
        <w:rPr>
          <w:rFonts w:ascii="方正仿宋_GBK" w:hAnsi="方正仿宋_GBK" w:eastAsia="方正仿宋_GBK" w:cs="方正仿宋_GBK"/>
          <w:color w:val="000000"/>
          <w:sz w:val="28"/>
        </w:rPr>
        <w:t>27.重大节日亮化经费绩效目标表</w:t>
      </w:r>
      <w:bookmarkEnd w:id="27"/>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通过项目的开展增强节日气氛，美化城市，优化人居环境。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亮化重大节点数</w:t>
            </w:r>
          </w:p>
        </w:tc>
        <w:tc>
          <w:tcPr>
            <w:tcW w:w="3544" w:type="dxa"/>
            <w:shd w:val="clear" w:color="auto" w:fill="auto"/>
          </w:tcPr>
          <w:p>
            <w:r>
              <w:rPr>
                <w:rFonts w:hint="eastAsia"/>
              </w:rPr>
              <w:t>实际亮化重大节点数量</w:t>
            </w:r>
          </w:p>
        </w:tc>
        <w:tc>
          <w:tcPr>
            <w:tcW w:w="1276" w:type="dxa"/>
            <w:shd w:val="clear" w:color="auto" w:fill="auto"/>
          </w:tcPr>
          <w:p>
            <w:r>
              <w:rPr>
                <w:rFonts w:hint="eastAsia"/>
              </w:rPr>
              <w:t>≥2个</w:t>
            </w:r>
          </w:p>
        </w:tc>
        <w:tc>
          <w:tcPr>
            <w:tcW w:w="4512" w:type="dxa"/>
            <w:shd w:val="clear" w:color="auto" w:fill="auto"/>
          </w:tcPr>
          <w:p>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亮化工程完成的及时率</w:t>
            </w:r>
          </w:p>
        </w:tc>
        <w:tc>
          <w:tcPr>
            <w:tcW w:w="3544" w:type="dxa"/>
            <w:shd w:val="clear" w:color="auto" w:fill="auto"/>
          </w:tcPr>
          <w:p>
            <w:r>
              <w:rPr>
                <w:rFonts w:hint="eastAsia"/>
              </w:rPr>
              <w:t>任务完成及时率（%）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每个节点亮化成本</w:t>
            </w:r>
          </w:p>
        </w:tc>
        <w:tc>
          <w:tcPr>
            <w:tcW w:w="3544" w:type="dxa"/>
            <w:shd w:val="clear" w:color="auto" w:fill="auto"/>
          </w:tcPr>
          <w:p>
            <w:r>
              <w:rPr>
                <w:rFonts w:hint="eastAsia"/>
              </w:rPr>
              <w:t>每个节点进行亮化所需成本</w:t>
            </w:r>
          </w:p>
        </w:tc>
        <w:tc>
          <w:tcPr>
            <w:tcW w:w="1276" w:type="dxa"/>
            <w:shd w:val="clear" w:color="auto" w:fill="auto"/>
          </w:tcPr>
          <w:p>
            <w:r>
              <w:rPr>
                <w:rFonts w:hint="eastAsia"/>
              </w:rPr>
              <w:t>≤10万元</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提升城市节日气氛</w:t>
            </w:r>
          </w:p>
        </w:tc>
        <w:tc>
          <w:tcPr>
            <w:tcW w:w="3544" w:type="dxa"/>
            <w:shd w:val="clear" w:color="auto" w:fill="auto"/>
          </w:tcPr>
          <w:p>
            <w:r>
              <w:rPr>
                <w:rFonts w:hint="eastAsia"/>
              </w:rPr>
              <w:t>是否提升城市节日气氛</w:t>
            </w:r>
          </w:p>
        </w:tc>
        <w:tc>
          <w:tcPr>
            <w:tcW w:w="1276" w:type="dxa"/>
            <w:shd w:val="clear" w:color="auto" w:fill="auto"/>
          </w:tcPr>
          <w:p>
            <w:r>
              <w:rPr>
                <w:rFonts w:hint="eastAsia"/>
              </w:rPr>
              <w:t>明显提升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服务对象满意度</w:t>
            </w:r>
          </w:p>
        </w:tc>
        <w:tc>
          <w:tcPr>
            <w:tcW w:w="3544" w:type="dxa"/>
            <w:shd w:val="clear" w:color="auto" w:fill="auto"/>
          </w:tcPr>
          <w:p>
            <w:r>
              <w:rPr>
                <w:rFonts w:hint="eastAsia"/>
              </w:rPr>
              <w:t>服务对象满意度</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28" w:name="_Toc_4_4_0000000031"/>
      <w:r>
        <w:rPr>
          <w:rFonts w:ascii="方正仿宋_GBK" w:hAnsi="方正仿宋_GBK" w:eastAsia="方正仿宋_GBK" w:cs="方正仿宋_GBK"/>
          <w:color w:val="000000"/>
          <w:sz w:val="28"/>
        </w:rPr>
        <w:t>28.重点工程管理经费绩效目标表</w:t>
      </w:r>
      <w:bookmarkEnd w:id="28"/>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通过项目的开展完善项目手续办理，提升城市交通安全，方便市民出行，保障市民生产生活环境的改善。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检测桥梁数量</w:t>
            </w:r>
          </w:p>
        </w:tc>
        <w:tc>
          <w:tcPr>
            <w:tcW w:w="3544" w:type="dxa"/>
            <w:shd w:val="clear" w:color="auto" w:fill="auto"/>
          </w:tcPr>
          <w:p>
            <w:r>
              <w:rPr>
                <w:rFonts w:hint="eastAsia"/>
              </w:rPr>
              <w:t>进行桥梁安全性检测的桥梁个数</w:t>
            </w:r>
          </w:p>
        </w:tc>
        <w:tc>
          <w:tcPr>
            <w:tcW w:w="1276" w:type="dxa"/>
            <w:shd w:val="clear" w:color="auto" w:fill="auto"/>
          </w:tcPr>
          <w:p>
            <w:r>
              <w:rPr>
                <w:rFonts w:hint="eastAsia"/>
              </w:rPr>
              <w:t>≥1个</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完成率</w:t>
            </w:r>
          </w:p>
        </w:tc>
        <w:tc>
          <w:tcPr>
            <w:tcW w:w="3544" w:type="dxa"/>
            <w:shd w:val="clear" w:color="auto" w:fill="auto"/>
          </w:tcPr>
          <w:p>
            <w:r>
              <w:rPr>
                <w:rFonts w:hint="eastAsia"/>
              </w:rPr>
              <w:t>工程按期完成率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维护费用</w:t>
            </w:r>
          </w:p>
        </w:tc>
        <w:tc>
          <w:tcPr>
            <w:tcW w:w="3544" w:type="dxa"/>
            <w:shd w:val="clear" w:color="auto" w:fill="auto"/>
          </w:tcPr>
          <w:p>
            <w:r>
              <w:rPr>
                <w:rFonts w:hint="eastAsia"/>
              </w:rPr>
              <w:t>密三路路灯维护完成后每年支付维护经费</w:t>
            </w:r>
          </w:p>
        </w:tc>
        <w:tc>
          <w:tcPr>
            <w:tcW w:w="1276" w:type="dxa"/>
            <w:shd w:val="clear" w:color="auto" w:fill="auto"/>
          </w:tcPr>
          <w:p>
            <w:r>
              <w:rPr>
                <w:rFonts w:hint="eastAsia"/>
              </w:rPr>
              <w:t>5.13万元</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基础设施完好率</w:t>
            </w:r>
          </w:p>
        </w:tc>
        <w:tc>
          <w:tcPr>
            <w:tcW w:w="3544" w:type="dxa"/>
            <w:shd w:val="clear" w:color="auto" w:fill="auto"/>
          </w:tcPr>
          <w:p>
            <w:r>
              <w:rPr>
                <w:rFonts w:hint="eastAsia"/>
              </w:rPr>
              <w:t>通过维护改改造翻新修缮设施完好率</w:t>
            </w:r>
          </w:p>
        </w:tc>
        <w:tc>
          <w:tcPr>
            <w:tcW w:w="1276" w:type="dxa"/>
            <w:shd w:val="clear" w:color="auto" w:fill="auto"/>
          </w:tcPr>
          <w:p>
            <w:r>
              <w:rPr>
                <w:rFonts w:hint="eastAsia"/>
              </w:rPr>
              <w:t>≥95%</w:t>
            </w:r>
          </w:p>
        </w:tc>
        <w:tc>
          <w:tcPr>
            <w:tcW w:w="4512" w:type="dxa"/>
            <w:shd w:val="clear" w:color="auto" w:fill="auto"/>
          </w:tcPr>
          <w:p>
            <w:r>
              <w:rPr>
                <w:rFonts w:hint="eastAsia"/>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满意的对象占所有调查对象的比例</w:t>
            </w:r>
          </w:p>
        </w:tc>
        <w:tc>
          <w:tcPr>
            <w:tcW w:w="3544" w:type="dxa"/>
            <w:shd w:val="clear" w:color="auto" w:fill="auto"/>
          </w:tcPr>
          <w:p>
            <w:r>
              <w:rPr>
                <w:rFonts w:hint="eastAsia"/>
              </w:rPr>
              <w:t>通过问卷调查，满意和较满意的对象占所有调查对象的比例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29" w:name="_Toc_4_4_0000000032"/>
      <w:r>
        <w:rPr>
          <w:rFonts w:ascii="方正仿宋_GBK" w:hAnsi="方正仿宋_GBK" w:eastAsia="方正仿宋_GBK" w:cs="方正仿宋_GBK"/>
          <w:color w:val="000000"/>
          <w:sz w:val="28"/>
        </w:rPr>
        <w:t>29.主要干道交通设施维护经费绩效目标表</w:t>
      </w:r>
      <w:bookmarkEnd w:id="29"/>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通过项目的开展实现交通设施完好，消除安全隐患，保障出行安全，改善生活环境，实现可持续发展，改善环境。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每月清洗次数</w:t>
            </w:r>
          </w:p>
        </w:tc>
        <w:tc>
          <w:tcPr>
            <w:tcW w:w="3544" w:type="dxa"/>
            <w:shd w:val="clear" w:color="auto" w:fill="auto"/>
          </w:tcPr>
          <w:p>
            <w:r>
              <w:rPr>
                <w:rFonts w:hint="eastAsia"/>
              </w:rPr>
              <w:t>每月清交通隔离设施次数</w:t>
            </w:r>
          </w:p>
        </w:tc>
        <w:tc>
          <w:tcPr>
            <w:tcW w:w="1276" w:type="dxa"/>
            <w:shd w:val="clear" w:color="auto" w:fill="auto"/>
          </w:tcPr>
          <w:p>
            <w:r>
              <w:rPr>
                <w:rFonts w:hint="eastAsia"/>
              </w:rPr>
              <w:t>≥2次</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设备维修及时率</w:t>
            </w:r>
          </w:p>
        </w:tc>
        <w:tc>
          <w:tcPr>
            <w:tcW w:w="3544" w:type="dxa"/>
            <w:shd w:val="clear" w:color="auto" w:fill="auto"/>
          </w:tcPr>
          <w:p>
            <w:r>
              <w:rPr>
                <w:rFonts w:hint="eastAsia"/>
              </w:rPr>
              <w:t>设备维修更换的及时率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维护费用</w:t>
            </w:r>
          </w:p>
        </w:tc>
        <w:tc>
          <w:tcPr>
            <w:tcW w:w="3544" w:type="dxa"/>
            <w:shd w:val="clear" w:color="auto" w:fill="auto"/>
          </w:tcPr>
          <w:p>
            <w:r>
              <w:rPr>
                <w:rFonts w:hint="eastAsia"/>
              </w:rPr>
              <w:t>每月维护经费</w:t>
            </w:r>
          </w:p>
        </w:tc>
        <w:tc>
          <w:tcPr>
            <w:tcW w:w="1276" w:type="dxa"/>
            <w:shd w:val="clear" w:color="auto" w:fill="auto"/>
          </w:tcPr>
          <w:p>
            <w:r>
              <w:rPr>
                <w:rFonts w:hint="eastAsia"/>
              </w:rPr>
              <w:t>≤60.8万元</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设备设施正常使用率</w:t>
            </w:r>
          </w:p>
        </w:tc>
        <w:tc>
          <w:tcPr>
            <w:tcW w:w="3544" w:type="dxa"/>
            <w:shd w:val="clear" w:color="auto" w:fill="auto"/>
          </w:tcPr>
          <w:p>
            <w:r>
              <w:rPr>
                <w:rFonts w:hint="eastAsia"/>
              </w:rPr>
              <w:t>通过维护养护，设备设施正常运转率</w:t>
            </w:r>
          </w:p>
        </w:tc>
        <w:tc>
          <w:tcPr>
            <w:tcW w:w="1276" w:type="dxa"/>
            <w:shd w:val="clear" w:color="auto" w:fill="auto"/>
          </w:tcPr>
          <w:p>
            <w:r>
              <w:rPr>
                <w:rFonts w:hint="eastAsia"/>
              </w:rPr>
              <w:t>≥95%</w:t>
            </w:r>
          </w:p>
        </w:tc>
        <w:tc>
          <w:tcPr>
            <w:tcW w:w="4512" w:type="dxa"/>
            <w:shd w:val="clear" w:color="auto" w:fill="auto"/>
          </w:tcPr>
          <w:p>
            <w:r>
              <w:rPr>
                <w:rFonts w:hint="eastAsia"/>
              </w:rPr>
              <w:t>合同要求、验收单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对使用人员调查中满意人数占调查总人数的比例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30" w:name="_Toc_4_4_0000000033"/>
      <w:r>
        <w:rPr>
          <w:rFonts w:ascii="方正仿宋_GBK" w:hAnsi="方正仿宋_GBK" w:eastAsia="方正仿宋_GBK" w:cs="方正仿宋_GBK"/>
          <w:color w:val="000000"/>
          <w:sz w:val="28"/>
        </w:rPr>
        <w:t>30.2018年背街小巷维修工程绩效目标表</w:t>
      </w:r>
      <w:bookmarkEnd w:id="3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通过项目的开展实现城市美化，改善道路环境等，保障城市经济发展，加快城市建设步伐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实际维修背街小巷</w:t>
            </w:r>
          </w:p>
        </w:tc>
        <w:tc>
          <w:tcPr>
            <w:tcW w:w="1276" w:type="dxa"/>
            <w:shd w:val="clear" w:color="auto" w:fill="auto"/>
          </w:tcPr>
          <w:p>
            <w:r>
              <w:rPr>
                <w:rFonts w:hint="eastAsia"/>
              </w:rPr>
              <w:t>3条</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预算控制数</w:t>
            </w:r>
          </w:p>
        </w:tc>
        <w:tc>
          <w:tcPr>
            <w:tcW w:w="3544" w:type="dxa"/>
            <w:shd w:val="clear" w:color="auto" w:fill="auto"/>
          </w:tcPr>
          <w:p>
            <w:r>
              <w:rPr>
                <w:rFonts w:hint="eastAsia"/>
              </w:rPr>
              <w:t>树池砌筑</w:t>
            </w:r>
          </w:p>
        </w:tc>
        <w:tc>
          <w:tcPr>
            <w:tcW w:w="1276" w:type="dxa"/>
            <w:shd w:val="clear" w:color="auto" w:fill="auto"/>
          </w:tcPr>
          <w:p>
            <w:r>
              <w:rPr>
                <w:rFonts w:hint="eastAsia"/>
              </w:rPr>
              <w:t>≤156.57元/个</w:t>
            </w:r>
          </w:p>
        </w:tc>
        <w:tc>
          <w:tcPr>
            <w:tcW w:w="4512" w:type="dxa"/>
            <w:shd w:val="clear" w:color="auto" w:fill="auto"/>
          </w:tcPr>
          <w:p>
            <w:r>
              <w:rPr>
                <w:rFonts w:hint="eastAsia"/>
              </w:rPr>
              <w:t>财政评审报告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31" w:name="_Toc_4_4_0000000034"/>
      <w:r>
        <w:rPr>
          <w:rFonts w:ascii="方正仿宋_GBK" w:hAnsi="方正仿宋_GBK" w:eastAsia="方正仿宋_GBK" w:cs="方正仿宋_GBK"/>
          <w:color w:val="000000"/>
          <w:sz w:val="28"/>
        </w:rPr>
        <w:t>31.2019年小街巷道路维修及排水改造工程绩效目标表</w:t>
      </w:r>
      <w:bookmarkEnd w:id="31"/>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通过项目的开展实现城市美化，改善道路环境等，保障城市经济发展，加快城市建设步伐。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完成改造维修涉及道路（兴安路、和平中街、永乐院、油库院）数量</w:t>
            </w:r>
          </w:p>
        </w:tc>
        <w:tc>
          <w:tcPr>
            <w:tcW w:w="1276" w:type="dxa"/>
            <w:shd w:val="clear" w:color="auto" w:fill="auto"/>
          </w:tcPr>
          <w:p>
            <w:r>
              <w:rPr>
                <w:rFonts w:hint="eastAsia"/>
              </w:rPr>
              <w:t>≥4条</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主要材料价单价</w:t>
            </w:r>
          </w:p>
        </w:tc>
        <w:tc>
          <w:tcPr>
            <w:tcW w:w="3544" w:type="dxa"/>
            <w:shd w:val="clear" w:color="auto" w:fill="auto"/>
          </w:tcPr>
          <w:p>
            <w:r>
              <w:rPr>
                <w:rFonts w:hint="eastAsia"/>
              </w:rPr>
              <w:t>预拌混凝土C30</w:t>
            </w:r>
          </w:p>
        </w:tc>
        <w:tc>
          <w:tcPr>
            <w:tcW w:w="1276" w:type="dxa"/>
            <w:shd w:val="clear" w:color="auto" w:fill="auto"/>
          </w:tcPr>
          <w:p>
            <w:r>
              <w:rPr>
                <w:rFonts w:hint="eastAsia"/>
              </w:rPr>
              <w:t>≤460元/吨</w:t>
            </w:r>
          </w:p>
        </w:tc>
        <w:tc>
          <w:tcPr>
            <w:tcW w:w="4512" w:type="dxa"/>
            <w:shd w:val="clear" w:color="auto" w:fill="auto"/>
          </w:tcPr>
          <w:p>
            <w:r>
              <w:rPr>
                <w:rFonts w:hint="eastAsia"/>
              </w:rPr>
              <w:t>三河市常用建筑安装材料及绿化苗木市场价格信息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32" w:name="_Toc_4_4_0000000035"/>
      <w:r>
        <w:rPr>
          <w:rFonts w:ascii="方正仿宋_GBK" w:hAnsi="方正仿宋_GBK" w:eastAsia="方正仿宋_GBK" w:cs="方正仿宋_GBK"/>
          <w:color w:val="000000"/>
          <w:sz w:val="28"/>
        </w:rPr>
        <w:t>32.2020年热力系统设备设施维修保养及应急服务绩效目标表</w:t>
      </w:r>
      <w:bookmarkEnd w:id="32"/>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按时供热，确保供热质量，提高供热服务水平。用户室温达到供、热双方合同确定的室温标准或当地政府主管</w:t>
            </w:r>
            <w:r>
              <w:rPr>
                <w:rFonts w:hint="eastAsia"/>
                <w:lang w:eastAsia="zh-CN"/>
              </w:rPr>
              <w:t>单位</w:t>
            </w:r>
            <w:r>
              <w:t>规定的室温标准，用户室温合格率应在98%以上，用户报修应及时处理，处理及时报修率应达到100%。做到用户室温合格率在98%以上，报修处理率达到100%。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设备管道维修数量（个）</w:t>
            </w:r>
          </w:p>
        </w:tc>
        <w:tc>
          <w:tcPr>
            <w:tcW w:w="3544" w:type="dxa"/>
            <w:shd w:val="clear" w:color="auto" w:fill="auto"/>
          </w:tcPr>
          <w:p>
            <w:r>
              <w:rPr>
                <w:rFonts w:hint="eastAsia"/>
              </w:rPr>
              <w:t>工程维修各种设备管道总个数</w:t>
            </w:r>
          </w:p>
        </w:tc>
        <w:tc>
          <w:tcPr>
            <w:tcW w:w="1276" w:type="dxa"/>
            <w:shd w:val="clear" w:color="auto" w:fill="auto"/>
          </w:tcPr>
          <w:p>
            <w:r>
              <w:rPr>
                <w:rFonts w:hint="eastAsia"/>
              </w:rPr>
              <w:t>≥680个</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工程量完成率（%）</w:t>
            </w:r>
          </w:p>
        </w:tc>
        <w:tc>
          <w:tcPr>
            <w:tcW w:w="3544" w:type="dxa"/>
            <w:shd w:val="clear" w:color="auto" w:fill="auto"/>
          </w:tcPr>
          <w:p>
            <w:r>
              <w:rPr>
                <w:rFonts w:hint="eastAsia"/>
              </w:rPr>
              <w:t>实际完成工程量占计划完成工程量的比率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维修改造设备单位成本（元/个）</w:t>
            </w:r>
          </w:p>
        </w:tc>
        <w:tc>
          <w:tcPr>
            <w:tcW w:w="3544" w:type="dxa"/>
            <w:shd w:val="clear" w:color="auto" w:fill="auto"/>
          </w:tcPr>
          <w:p>
            <w:r>
              <w:rPr>
                <w:rFonts w:hint="eastAsia"/>
              </w:rPr>
              <w:t>维修改造各种设备平均成本</w:t>
            </w:r>
          </w:p>
        </w:tc>
        <w:tc>
          <w:tcPr>
            <w:tcW w:w="1276" w:type="dxa"/>
            <w:shd w:val="clear" w:color="auto" w:fill="auto"/>
          </w:tcPr>
          <w:p>
            <w:r>
              <w:rPr>
                <w:rFonts w:hint="eastAsia"/>
              </w:rPr>
              <w:t>≤12000元/个</w:t>
            </w:r>
          </w:p>
        </w:tc>
        <w:tc>
          <w:tcPr>
            <w:tcW w:w="4512" w:type="dxa"/>
            <w:shd w:val="clear" w:color="auto" w:fill="auto"/>
          </w:tcPr>
          <w:p>
            <w:r>
              <w:rPr>
                <w:rFonts w:hint="eastAsia"/>
              </w:rPr>
              <w:t>三住建【2020】312号《三河市住房和城乡建设局关于采购2020年度热力设备设施维修服务的请示》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三住建【2020】312号《三河市住房和城乡建设局关于采购2020年度热力设备设施维修服务的请示》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受群众满意度（%）</w:t>
            </w:r>
          </w:p>
        </w:tc>
        <w:tc>
          <w:tcPr>
            <w:tcW w:w="3544" w:type="dxa"/>
            <w:shd w:val="clear" w:color="auto" w:fill="auto"/>
          </w:tcPr>
          <w:p>
            <w:r>
              <w:rPr>
                <w:rFonts w:hint="eastAsia"/>
              </w:rPr>
              <w:t>受益群体调查中，满意和较满意的人数占全部调查人数的比率</w:t>
            </w:r>
          </w:p>
        </w:tc>
        <w:tc>
          <w:tcPr>
            <w:tcW w:w="1276" w:type="dxa"/>
            <w:shd w:val="clear" w:color="auto" w:fill="auto"/>
          </w:tcPr>
          <w:p>
            <w:r>
              <w:rPr>
                <w:rFonts w:hint="eastAsia"/>
              </w:rPr>
              <w:t>≥95%</w:t>
            </w:r>
          </w:p>
        </w:tc>
        <w:tc>
          <w:tcPr>
            <w:tcW w:w="4512" w:type="dxa"/>
            <w:shd w:val="clear" w:color="auto" w:fill="auto"/>
          </w:tcPr>
          <w:p>
            <w:r>
              <w:rPr>
                <w:rFonts w:hint="eastAsia"/>
              </w:rPr>
              <w:t>满意度调查表</w:t>
            </w:r>
          </w:p>
        </w:tc>
      </w:tr>
    </w:tbl>
    <w:p>
      <w:pPr>
        <w:ind w:firstLine="560"/>
        <w:outlineLvl w:val="3"/>
      </w:pPr>
      <w:bookmarkStart w:id="33" w:name="_Toc_4_4_0000000036"/>
      <w:r>
        <w:rPr>
          <w:rFonts w:ascii="方正仿宋_GBK" w:hAnsi="方正仿宋_GBK" w:eastAsia="方正仿宋_GBK" w:cs="方正仿宋_GBK"/>
          <w:color w:val="000000"/>
          <w:sz w:val="28"/>
        </w:rPr>
        <w:t>33.2021年保障性安居工程（第三批）中央基建投资预算（拨款）冀财建【2021】92号绩效目标表</w:t>
      </w:r>
      <w:bookmarkEnd w:id="33"/>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pPr>
            <w:r>
              <w:rPr>
                <w:rFonts w:hint="eastAsia"/>
              </w:rPr>
              <w:t>1.通过项目的开展，使老旧小区居民的居住条件和生活品质得到明显提升，切实增强群众的获得感。</w:t>
            </w:r>
          </w:p>
          <w:p>
            <w:pPr>
              <w:spacing w:line="300" w:lineRule="exact"/>
            </w:pPr>
            <w:r>
              <w:rPr>
                <w:rFonts w:hint="eastAsia"/>
              </w:rPr>
              <w:t>2.通过项目的开展，使老旧小区居民的居住条件和生活品质得到明显提升，切实增强群众的幸福感。</w:t>
            </w:r>
          </w:p>
          <w:p>
            <w:pPr>
              <w:spacing w:line="300" w:lineRule="exact"/>
            </w:pPr>
            <w:r>
              <w:rPr>
                <w:rFonts w:hint="eastAsia"/>
              </w:rPr>
              <w:t>3.通过项目的开展，使老旧小区居民的居住条件和生活品质得到明显提升，切实增强群众的安全感。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49个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4mmSBS改性沥青防水卷材单位材料成本</w:t>
            </w:r>
          </w:p>
        </w:tc>
        <w:tc>
          <w:tcPr>
            <w:tcW w:w="1276" w:type="dxa"/>
            <w:shd w:val="clear" w:color="auto" w:fill="auto"/>
          </w:tcPr>
          <w:p>
            <w:r>
              <w:rPr>
                <w:rFonts w:hint="eastAsia"/>
              </w:rPr>
              <w:t>≤26元/㎡</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34" w:name="_Toc_4_4_0000000037"/>
      <w:r>
        <w:rPr>
          <w:rFonts w:ascii="方正仿宋_GBK" w:hAnsi="方正仿宋_GBK" w:eastAsia="方正仿宋_GBK" w:cs="方正仿宋_GBK"/>
          <w:color w:val="000000"/>
          <w:sz w:val="28"/>
        </w:rPr>
        <w:t>34.2021年春节灯展绩效目标表</w:t>
      </w:r>
      <w:bookmarkEnd w:id="34"/>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通过对东市区主要道路路灯杆和重要节点进行亮化、美化，扮靓城市环境，营造节日喜庆氛围。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建设数量</w:t>
            </w:r>
          </w:p>
        </w:tc>
        <w:tc>
          <w:tcPr>
            <w:tcW w:w="3544" w:type="dxa"/>
            <w:shd w:val="clear" w:color="auto" w:fill="auto"/>
          </w:tcPr>
          <w:p>
            <w:r>
              <w:rPr>
                <w:rFonts w:hint="eastAsia"/>
              </w:rPr>
              <w:t>亮化美化道路数量</w:t>
            </w:r>
          </w:p>
        </w:tc>
        <w:tc>
          <w:tcPr>
            <w:tcW w:w="1276" w:type="dxa"/>
            <w:shd w:val="clear" w:color="auto" w:fill="auto"/>
          </w:tcPr>
          <w:p>
            <w:r>
              <w:rPr>
                <w:rFonts w:hint="eastAsia"/>
              </w:rPr>
              <w:t>≤7条</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主要材料单价</w:t>
            </w:r>
          </w:p>
        </w:tc>
        <w:tc>
          <w:tcPr>
            <w:tcW w:w="3544" w:type="dxa"/>
            <w:shd w:val="clear" w:color="auto" w:fill="auto"/>
          </w:tcPr>
          <w:p>
            <w:r>
              <w:rPr>
                <w:rFonts w:hint="eastAsia"/>
              </w:rPr>
              <w:t>宽0.8米，高1.55米绒布中国结</w:t>
            </w:r>
          </w:p>
        </w:tc>
        <w:tc>
          <w:tcPr>
            <w:tcW w:w="1276" w:type="dxa"/>
            <w:shd w:val="clear" w:color="auto" w:fill="auto"/>
          </w:tcPr>
          <w:p>
            <w:r>
              <w:rPr>
                <w:rFonts w:hint="eastAsia"/>
              </w:rPr>
              <w:t>≤131元/个</w:t>
            </w:r>
          </w:p>
        </w:tc>
        <w:tc>
          <w:tcPr>
            <w:tcW w:w="4512" w:type="dxa"/>
            <w:shd w:val="clear" w:color="auto" w:fill="auto"/>
          </w:tcPr>
          <w:p>
            <w:r>
              <w:rPr>
                <w:rFonts w:hint="eastAsia"/>
              </w:rPr>
              <w:t>结算评审报告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35" w:name="_Toc_4_4_0000000038"/>
      <w:r>
        <w:rPr>
          <w:rFonts w:ascii="方正仿宋_GBK" w:hAnsi="方正仿宋_GBK" w:eastAsia="方正仿宋_GBK" w:cs="方正仿宋_GBK"/>
          <w:color w:val="000000"/>
          <w:sz w:val="28"/>
        </w:rPr>
        <w:t>35.2021年公共租赁住房建设市级资金（廊财建【2021】32号）绩效目标表</w:t>
      </w:r>
      <w:bookmarkEnd w:id="35"/>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pPr>
            <w:r>
              <w:rPr>
                <w:rFonts w:hint="eastAsia"/>
              </w:rPr>
              <w:t>1.通过项目开展，提升居民居住幸福感。</w:t>
            </w:r>
          </w:p>
          <w:p>
            <w:pPr>
              <w:spacing w:line="300" w:lineRule="exact"/>
            </w:pPr>
            <w:r>
              <w:rPr>
                <w:rFonts w:hint="eastAsia"/>
              </w:rPr>
              <w:t>2.通过项目开展，降低居住隐患，保障居民人身财产安全。</w:t>
            </w:r>
          </w:p>
          <w:p>
            <w:pPr>
              <w:spacing w:line="300" w:lineRule="exact"/>
              <w:rPr>
                <w:rFonts w:ascii="Times New Roman" w:hAnsi="Times New Roman" w:eastAsia="仿宋_GB2312" w:cs="Times New Roman"/>
                <w:b/>
              </w:rPr>
            </w:pPr>
            <w:r>
              <w:rPr>
                <w:rFonts w:hint="eastAsia"/>
              </w:rPr>
              <w:t>3.通过项目开展，提升居民居住归属感。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保障性住房装修竣工率</w:t>
            </w:r>
          </w:p>
        </w:tc>
        <w:tc>
          <w:tcPr>
            <w:tcW w:w="3544" w:type="dxa"/>
            <w:shd w:val="clear" w:color="auto" w:fill="auto"/>
          </w:tcPr>
          <w:p>
            <w:r>
              <w:rPr>
                <w:rFonts w:hint="eastAsia"/>
              </w:rPr>
              <w:t>保障性住房装修竣工数量占政府当年下达任务数比率</w:t>
            </w:r>
          </w:p>
        </w:tc>
        <w:tc>
          <w:tcPr>
            <w:tcW w:w="1276" w:type="dxa"/>
            <w:shd w:val="clear" w:color="auto" w:fill="auto"/>
          </w:tcPr>
          <w:p>
            <w:r>
              <w:rPr>
                <w:rFonts w:hint="eastAsia"/>
              </w:rPr>
              <w:t>≥95%</w:t>
            </w:r>
          </w:p>
        </w:tc>
        <w:tc>
          <w:tcPr>
            <w:tcW w:w="4512" w:type="dxa"/>
            <w:shd w:val="clear" w:color="auto" w:fill="auto"/>
          </w:tcPr>
          <w:p>
            <w:r>
              <w:rPr>
                <w:rFonts w:hint="eastAsia"/>
              </w:rPr>
              <w:t>公共租赁住房管理办法（住房和城乡建设部令【2012】11号）、《河北省公共租赁住房管理办法》（冀政【2011】68号）、《廊坊市公共住房管理办法》（廊坊市人民政府令【2012】第3号）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已竣工保障性住房装修质量合格率</w:t>
            </w:r>
          </w:p>
        </w:tc>
        <w:tc>
          <w:tcPr>
            <w:tcW w:w="3544" w:type="dxa"/>
            <w:shd w:val="clear" w:color="auto" w:fill="auto"/>
          </w:tcPr>
          <w:p>
            <w:r>
              <w:rPr>
                <w:rFonts w:hint="eastAsia"/>
              </w:rPr>
              <w:t>已竣工保障性住房质量合格率占当年全部竣工保障性住房装修比率</w:t>
            </w:r>
          </w:p>
        </w:tc>
        <w:tc>
          <w:tcPr>
            <w:tcW w:w="1276" w:type="dxa"/>
            <w:shd w:val="clear" w:color="auto" w:fill="auto"/>
          </w:tcPr>
          <w:p>
            <w:r>
              <w:rPr>
                <w:rFonts w:hint="eastAsia"/>
              </w:rPr>
              <w:t>100%</w:t>
            </w:r>
          </w:p>
        </w:tc>
        <w:tc>
          <w:tcPr>
            <w:tcW w:w="4512" w:type="dxa"/>
            <w:shd w:val="clear" w:color="auto" w:fill="auto"/>
          </w:tcPr>
          <w:p>
            <w:r>
              <w:rPr>
                <w:rFonts w:hint="eastAsia"/>
              </w:rPr>
              <w:t>公共租赁住房管理办法（住房和城乡建设部令【2012】11号）、《河北省公共租赁住房管理办法》（冀政【2011】68号）、《廊坊市公共住房管理办法》（廊坊市人民政府令【2012】第3号）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按工期完成保障性住房装修率</w:t>
            </w:r>
          </w:p>
        </w:tc>
        <w:tc>
          <w:tcPr>
            <w:tcW w:w="3544" w:type="dxa"/>
            <w:shd w:val="clear" w:color="auto" w:fill="auto"/>
          </w:tcPr>
          <w:p>
            <w:r>
              <w:rPr>
                <w:rFonts w:hint="eastAsia"/>
              </w:rPr>
              <w:t>按合同约定工期完成保障性住房装修占当年全部保障性住房装修比率</w:t>
            </w:r>
          </w:p>
        </w:tc>
        <w:tc>
          <w:tcPr>
            <w:tcW w:w="1276" w:type="dxa"/>
            <w:shd w:val="clear" w:color="auto" w:fill="auto"/>
          </w:tcPr>
          <w:p>
            <w:r>
              <w:rPr>
                <w:rFonts w:hint="eastAsia"/>
              </w:rPr>
              <w:t>100%</w:t>
            </w:r>
          </w:p>
        </w:tc>
        <w:tc>
          <w:tcPr>
            <w:tcW w:w="4512" w:type="dxa"/>
            <w:shd w:val="clear" w:color="auto" w:fill="auto"/>
          </w:tcPr>
          <w:p>
            <w:r>
              <w:rPr>
                <w:rFonts w:hint="eastAsia"/>
              </w:rPr>
              <w:t>公共租赁住房管理办法（住房和城乡建设部令【2012】11号）、《河北省公共租赁住房管理办法》（冀政【2011】68号）、《廊坊市公共住房管理办法》（廊坊市人民政府令【2012】第3号）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重要材料单价</w:t>
            </w:r>
          </w:p>
        </w:tc>
        <w:tc>
          <w:tcPr>
            <w:tcW w:w="3544" w:type="dxa"/>
            <w:shd w:val="clear" w:color="auto" w:fill="auto"/>
          </w:tcPr>
          <w:p>
            <w:r>
              <w:rPr>
                <w:rFonts w:hint="eastAsia"/>
              </w:rPr>
              <w:t>立邦漆</w:t>
            </w:r>
          </w:p>
        </w:tc>
        <w:tc>
          <w:tcPr>
            <w:tcW w:w="1276" w:type="dxa"/>
            <w:shd w:val="clear" w:color="auto" w:fill="auto"/>
          </w:tcPr>
          <w:p>
            <w:r>
              <w:rPr>
                <w:rFonts w:hint="eastAsia"/>
              </w:rPr>
              <w:t>≤10元/千克</w:t>
            </w:r>
          </w:p>
        </w:tc>
        <w:tc>
          <w:tcPr>
            <w:tcW w:w="4512" w:type="dxa"/>
            <w:shd w:val="clear" w:color="auto" w:fill="auto"/>
          </w:tcPr>
          <w:p>
            <w:r>
              <w:rPr>
                <w:rFonts w:hint="eastAsia"/>
              </w:rPr>
              <w:t>招标控制底价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隐患消除率</w:t>
            </w:r>
          </w:p>
        </w:tc>
        <w:tc>
          <w:tcPr>
            <w:tcW w:w="3544" w:type="dxa"/>
            <w:shd w:val="clear" w:color="auto" w:fill="auto"/>
          </w:tcPr>
          <w:p>
            <w:r>
              <w:rPr>
                <w:rFonts w:hint="eastAsia"/>
              </w:rPr>
              <w:t>通过公共住房维修，及时消除安全隐患占存在安全隐患的比率</w:t>
            </w:r>
          </w:p>
        </w:tc>
        <w:tc>
          <w:tcPr>
            <w:tcW w:w="1276" w:type="dxa"/>
            <w:shd w:val="clear" w:color="auto" w:fill="auto"/>
          </w:tcPr>
          <w:p>
            <w:r>
              <w:rPr>
                <w:rFonts w:hint="eastAsia"/>
              </w:rPr>
              <w:t>≥95%</w:t>
            </w:r>
          </w:p>
        </w:tc>
        <w:tc>
          <w:tcPr>
            <w:tcW w:w="4512" w:type="dxa"/>
            <w:shd w:val="clear" w:color="auto" w:fill="auto"/>
          </w:tcPr>
          <w:p>
            <w:r>
              <w:rPr>
                <w:rFonts w:hint="eastAsia"/>
              </w:rPr>
              <w:t>公共租赁住房管理办法（住房和城乡建设部令【2012】11号）、《河北省公共租赁住房管理办法》（冀政【2011】68号）、《廊坊市公共住房管理办法》（廊坊市人民政府令【2012】第3号）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36" w:name="_Toc_4_4_0000000039"/>
      <w:r>
        <w:rPr>
          <w:rFonts w:ascii="方正仿宋_GBK" w:hAnsi="方正仿宋_GBK" w:eastAsia="方正仿宋_GBK" w:cs="方正仿宋_GBK"/>
          <w:color w:val="000000"/>
          <w:sz w:val="28"/>
        </w:rPr>
        <w:t>36.2021年换热站及供热设施维修维护工程（城建）绩效目标表</w:t>
      </w:r>
      <w:bookmarkEnd w:id="36"/>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通过项目开展，按时供热，确保供热质量，提高供热服务水平。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安装设备数量（个）</w:t>
            </w:r>
          </w:p>
        </w:tc>
        <w:tc>
          <w:tcPr>
            <w:tcW w:w="3544" w:type="dxa"/>
            <w:shd w:val="clear" w:color="auto" w:fill="auto"/>
          </w:tcPr>
          <w:p>
            <w:r>
              <w:rPr>
                <w:rFonts w:hint="eastAsia"/>
              </w:rPr>
              <w:t>工程安装双法兰硬密封涡轮式蝶阀总个数</w:t>
            </w:r>
          </w:p>
        </w:tc>
        <w:tc>
          <w:tcPr>
            <w:tcW w:w="1276" w:type="dxa"/>
            <w:shd w:val="clear" w:color="auto" w:fill="auto"/>
          </w:tcPr>
          <w:p>
            <w:r>
              <w:rPr>
                <w:rFonts w:hint="eastAsia"/>
              </w:rPr>
              <w:t>20个</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工程量完成占总工程量比率（%）</w:t>
            </w:r>
          </w:p>
        </w:tc>
        <w:tc>
          <w:tcPr>
            <w:tcW w:w="3544" w:type="dxa"/>
            <w:shd w:val="clear" w:color="auto" w:fill="auto"/>
          </w:tcPr>
          <w:p>
            <w:r>
              <w:rPr>
                <w:rFonts w:hint="eastAsia"/>
              </w:rPr>
              <w:t>实际完成工程量占计划完成工程量的比率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工程按期完成占总工程比率（%）</w:t>
            </w:r>
          </w:p>
        </w:tc>
        <w:tc>
          <w:tcPr>
            <w:tcW w:w="3544" w:type="dxa"/>
            <w:shd w:val="clear" w:color="auto" w:fill="auto"/>
          </w:tcPr>
          <w:p>
            <w:r>
              <w:rPr>
                <w:rFonts w:hint="eastAsia"/>
              </w:rPr>
              <w:t>按期完成的工程量占总工程量的比率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安装设备单位成本</w:t>
            </w:r>
          </w:p>
        </w:tc>
        <w:tc>
          <w:tcPr>
            <w:tcW w:w="3544" w:type="dxa"/>
            <w:shd w:val="clear" w:color="auto" w:fill="auto"/>
          </w:tcPr>
          <w:p>
            <w:r>
              <w:rPr>
                <w:rFonts w:hint="eastAsia"/>
              </w:rPr>
              <w:t>双法兰硬密封涡轮式蝶阀DN125</w:t>
            </w:r>
          </w:p>
        </w:tc>
        <w:tc>
          <w:tcPr>
            <w:tcW w:w="1276" w:type="dxa"/>
            <w:shd w:val="clear" w:color="auto" w:fill="auto"/>
          </w:tcPr>
          <w:p>
            <w:r>
              <w:rPr>
                <w:rFonts w:hint="eastAsia"/>
              </w:rPr>
              <w:t>≤13900元/个</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受群众满意度（%）</w:t>
            </w:r>
          </w:p>
        </w:tc>
        <w:tc>
          <w:tcPr>
            <w:tcW w:w="3544" w:type="dxa"/>
            <w:shd w:val="clear" w:color="auto" w:fill="auto"/>
          </w:tcPr>
          <w:p>
            <w:r>
              <w:rPr>
                <w:rFonts w:hint="eastAsia"/>
              </w:rPr>
              <w:t>受益群体调查中，满意和较满意的人数占全部调查人数的比率</w:t>
            </w:r>
          </w:p>
        </w:tc>
        <w:tc>
          <w:tcPr>
            <w:tcW w:w="1276" w:type="dxa"/>
            <w:shd w:val="clear" w:color="auto" w:fill="auto"/>
          </w:tcPr>
          <w:p>
            <w:r>
              <w:rPr>
                <w:rFonts w:hint="eastAsia"/>
              </w:rPr>
              <w:t>≥95%</w:t>
            </w:r>
          </w:p>
        </w:tc>
        <w:tc>
          <w:tcPr>
            <w:tcW w:w="4512" w:type="dxa"/>
            <w:shd w:val="clear" w:color="auto" w:fill="auto"/>
          </w:tcPr>
          <w:p>
            <w:r>
              <w:rPr>
                <w:rFonts w:hint="eastAsia"/>
              </w:rPr>
              <w:t>满意度调查表</w:t>
            </w:r>
          </w:p>
        </w:tc>
      </w:tr>
    </w:tbl>
    <w:p>
      <w:pPr>
        <w:ind w:firstLine="560"/>
        <w:outlineLvl w:val="3"/>
      </w:pPr>
      <w:bookmarkStart w:id="37" w:name="_Toc_4_4_0000000040"/>
      <w:r>
        <w:rPr>
          <w:rFonts w:ascii="方正仿宋_GBK" w:hAnsi="方正仿宋_GBK" w:eastAsia="方正仿宋_GBK" w:cs="方正仿宋_GBK"/>
          <w:color w:val="000000"/>
          <w:sz w:val="28"/>
        </w:rPr>
        <w:t>37.2021年热力系统设备设施维修保养及应急服务绩效目标表</w:t>
      </w:r>
      <w:bookmarkEnd w:id="37"/>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按时供热，确保供热质量，提高供热服务水平。用户室温达到供、热双方合同确定的室温标准或当地政府主管</w:t>
            </w:r>
            <w:r>
              <w:rPr>
                <w:rFonts w:hint="eastAsia"/>
                <w:lang w:eastAsia="zh-CN"/>
              </w:rPr>
              <w:t>单位</w:t>
            </w:r>
            <w:r>
              <w:t>规定的室温标准，用户室温合格率应在98%以上，用户报修应及时处理，处理及时报修率应达到100%。做到用户室温合格率在98%以上，报修处理率达到100%。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设备改造保养数量（个）</w:t>
            </w:r>
          </w:p>
        </w:tc>
        <w:tc>
          <w:tcPr>
            <w:tcW w:w="3544" w:type="dxa"/>
            <w:shd w:val="clear" w:color="auto" w:fill="auto"/>
          </w:tcPr>
          <w:p>
            <w:r>
              <w:rPr>
                <w:rFonts w:hint="eastAsia"/>
              </w:rPr>
              <w:t>工程改造维修各种设备总个数</w:t>
            </w:r>
          </w:p>
        </w:tc>
        <w:tc>
          <w:tcPr>
            <w:tcW w:w="1276" w:type="dxa"/>
            <w:shd w:val="clear" w:color="auto" w:fill="auto"/>
          </w:tcPr>
          <w:p>
            <w:r>
              <w:rPr>
                <w:rFonts w:hint="eastAsia"/>
              </w:rPr>
              <w:t>≥500个</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工程量完成占总工程量比率（%）</w:t>
            </w:r>
          </w:p>
        </w:tc>
        <w:tc>
          <w:tcPr>
            <w:tcW w:w="3544" w:type="dxa"/>
            <w:shd w:val="clear" w:color="auto" w:fill="auto"/>
          </w:tcPr>
          <w:p>
            <w:r>
              <w:rPr>
                <w:rFonts w:hint="eastAsia"/>
              </w:rPr>
              <w:t>实际完成工程量占计划完成工程量的比率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工程按期完成占总工程比率（%）</w:t>
            </w:r>
          </w:p>
        </w:tc>
        <w:tc>
          <w:tcPr>
            <w:tcW w:w="3544" w:type="dxa"/>
            <w:shd w:val="clear" w:color="auto" w:fill="auto"/>
          </w:tcPr>
          <w:p>
            <w:r>
              <w:rPr>
                <w:rFonts w:hint="eastAsia"/>
              </w:rPr>
              <w:t>按期完成的工程量占总工程量的比率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维修改造设备单位成本（元/个）</w:t>
            </w:r>
          </w:p>
        </w:tc>
        <w:tc>
          <w:tcPr>
            <w:tcW w:w="3544" w:type="dxa"/>
            <w:shd w:val="clear" w:color="auto" w:fill="auto"/>
          </w:tcPr>
          <w:p>
            <w:r>
              <w:rPr>
                <w:rFonts w:hint="eastAsia"/>
              </w:rPr>
              <w:t>维修改造各种设备平均成本</w:t>
            </w:r>
          </w:p>
        </w:tc>
        <w:tc>
          <w:tcPr>
            <w:tcW w:w="1276" w:type="dxa"/>
            <w:shd w:val="clear" w:color="auto" w:fill="auto"/>
          </w:tcPr>
          <w:p>
            <w:r>
              <w:rPr>
                <w:rFonts w:hint="eastAsia"/>
              </w:rPr>
              <w:t>≤5500元/个</w:t>
            </w:r>
          </w:p>
        </w:tc>
        <w:tc>
          <w:tcPr>
            <w:tcW w:w="4512" w:type="dxa"/>
            <w:shd w:val="clear" w:color="auto" w:fill="auto"/>
          </w:tcPr>
          <w:p>
            <w:r>
              <w:rPr>
                <w:rFonts w:hint="eastAsia"/>
              </w:rPr>
              <w:t>三住建【2021】312号《三河市住房和城乡建设局关于采购2021年度热力设备设施维修服务的请示》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三住建【2021】312号《三河市住房和城乡建设局关于采购2021年度热力设备设施维修服务的请示》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受群众满意度（%）</w:t>
            </w:r>
          </w:p>
        </w:tc>
        <w:tc>
          <w:tcPr>
            <w:tcW w:w="3544" w:type="dxa"/>
            <w:shd w:val="clear" w:color="auto" w:fill="auto"/>
          </w:tcPr>
          <w:p>
            <w:r>
              <w:rPr>
                <w:rFonts w:hint="eastAsia"/>
              </w:rPr>
              <w:t>受益群体调查中，满意和较满意的人数占全部调查人数的比率</w:t>
            </w:r>
          </w:p>
        </w:tc>
        <w:tc>
          <w:tcPr>
            <w:tcW w:w="1276" w:type="dxa"/>
            <w:shd w:val="clear" w:color="auto" w:fill="auto"/>
          </w:tcPr>
          <w:p>
            <w:r>
              <w:rPr>
                <w:rFonts w:hint="eastAsia"/>
              </w:rPr>
              <w:t>≥95%</w:t>
            </w:r>
          </w:p>
        </w:tc>
        <w:tc>
          <w:tcPr>
            <w:tcW w:w="4512" w:type="dxa"/>
            <w:shd w:val="clear" w:color="auto" w:fill="auto"/>
          </w:tcPr>
          <w:p>
            <w:r>
              <w:rPr>
                <w:rFonts w:hint="eastAsia"/>
              </w:rPr>
              <w:t>满意度调查表</w:t>
            </w:r>
          </w:p>
        </w:tc>
      </w:tr>
    </w:tbl>
    <w:p>
      <w:pPr>
        <w:ind w:firstLine="560"/>
        <w:outlineLvl w:val="3"/>
      </w:pPr>
      <w:bookmarkStart w:id="38" w:name="_Toc_4_4_0000000041"/>
      <w:r>
        <w:rPr>
          <w:rFonts w:ascii="方正仿宋_GBK" w:hAnsi="方正仿宋_GBK" w:eastAsia="方正仿宋_GBK" w:cs="方正仿宋_GBK"/>
          <w:color w:val="000000"/>
          <w:sz w:val="28"/>
        </w:rPr>
        <w:t>38.2021年热源厂设备维修维护工程（城建）绩效目标表</w:t>
      </w:r>
      <w:bookmarkEnd w:id="38"/>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pStyle w:val="14"/>
            </w:pPr>
            <w:r>
              <w:t>通过项目开展，按时供热，确保供热质量，提高供热服务水平。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安装设备数量（个）</w:t>
            </w:r>
          </w:p>
        </w:tc>
        <w:tc>
          <w:tcPr>
            <w:tcW w:w="3544" w:type="dxa"/>
            <w:shd w:val="clear" w:color="auto" w:fill="auto"/>
          </w:tcPr>
          <w:p>
            <w:r>
              <w:rPr>
                <w:rFonts w:hint="eastAsia"/>
              </w:rPr>
              <w:t>工程安装立式屏蔽电泵总个数</w:t>
            </w:r>
          </w:p>
        </w:tc>
        <w:tc>
          <w:tcPr>
            <w:tcW w:w="1276" w:type="dxa"/>
            <w:shd w:val="clear" w:color="auto" w:fill="auto"/>
          </w:tcPr>
          <w:p>
            <w:r>
              <w:rPr>
                <w:rFonts w:hint="eastAsia"/>
              </w:rPr>
              <w:t>4个</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工程量完成占总工程量比率（%）</w:t>
            </w:r>
          </w:p>
        </w:tc>
        <w:tc>
          <w:tcPr>
            <w:tcW w:w="3544" w:type="dxa"/>
            <w:shd w:val="clear" w:color="auto" w:fill="auto"/>
          </w:tcPr>
          <w:p>
            <w:r>
              <w:rPr>
                <w:rFonts w:hint="eastAsia"/>
              </w:rPr>
              <w:t>实际完成工程量占计划完成工程量的比率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工程按期完成占总工程比率（%）</w:t>
            </w:r>
          </w:p>
        </w:tc>
        <w:tc>
          <w:tcPr>
            <w:tcW w:w="3544" w:type="dxa"/>
            <w:shd w:val="clear" w:color="auto" w:fill="auto"/>
          </w:tcPr>
          <w:p>
            <w:r>
              <w:rPr>
                <w:rFonts w:hint="eastAsia"/>
              </w:rPr>
              <w:t>按期完成的工程量占总工程量的比率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安装设备单位成本</w:t>
            </w:r>
          </w:p>
        </w:tc>
        <w:tc>
          <w:tcPr>
            <w:tcW w:w="3544" w:type="dxa"/>
            <w:shd w:val="clear" w:color="auto" w:fill="auto"/>
          </w:tcPr>
          <w:p>
            <w:r>
              <w:rPr>
                <w:rFonts w:hint="eastAsia"/>
              </w:rPr>
              <w:t>立式屏蔽电泵，3.0KW</w:t>
            </w:r>
          </w:p>
        </w:tc>
        <w:tc>
          <w:tcPr>
            <w:tcW w:w="1276" w:type="dxa"/>
            <w:shd w:val="clear" w:color="auto" w:fill="auto"/>
          </w:tcPr>
          <w:p>
            <w:r>
              <w:rPr>
                <w:rFonts w:hint="eastAsia"/>
              </w:rPr>
              <w:t>≤22800元/个</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受群众满意度（%）</w:t>
            </w:r>
          </w:p>
        </w:tc>
        <w:tc>
          <w:tcPr>
            <w:tcW w:w="3544" w:type="dxa"/>
            <w:shd w:val="clear" w:color="auto" w:fill="auto"/>
          </w:tcPr>
          <w:p>
            <w:r>
              <w:rPr>
                <w:rFonts w:hint="eastAsia"/>
              </w:rPr>
              <w:t>受益群体调查中，满意和较满意的人数占全部调查人数的比率</w:t>
            </w:r>
          </w:p>
        </w:tc>
        <w:tc>
          <w:tcPr>
            <w:tcW w:w="1276" w:type="dxa"/>
            <w:shd w:val="clear" w:color="auto" w:fill="auto"/>
          </w:tcPr>
          <w:p>
            <w:r>
              <w:rPr>
                <w:rFonts w:hint="eastAsia"/>
              </w:rPr>
              <w:t>≥95%</w:t>
            </w:r>
          </w:p>
        </w:tc>
        <w:tc>
          <w:tcPr>
            <w:tcW w:w="4512" w:type="dxa"/>
            <w:shd w:val="clear" w:color="auto" w:fill="auto"/>
          </w:tcPr>
          <w:p>
            <w:r>
              <w:rPr>
                <w:rFonts w:hint="eastAsia"/>
              </w:rPr>
              <w:t>满意度调查表</w:t>
            </w:r>
          </w:p>
        </w:tc>
      </w:tr>
    </w:tbl>
    <w:p>
      <w:pPr>
        <w:ind w:firstLine="560"/>
        <w:outlineLvl w:val="3"/>
      </w:pPr>
      <w:bookmarkStart w:id="39" w:name="_Toc_4_4_0000000042"/>
      <w:r>
        <w:rPr>
          <w:rFonts w:ascii="方正仿宋_GBK" w:hAnsi="方正仿宋_GBK" w:eastAsia="方正仿宋_GBK" w:cs="方正仿宋_GBK"/>
          <w:color w:val="000000"/>
          <w:sz w:val="28"/>
        </w:rPr>
        <w:t>39.2022年泃阳西街道老旧小区建筑主体改造工程绩效目标表</w:t>
      </w:r>
      <w:bookmarkEnd w:id="39"/>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6个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4mmSBS改性沥青防水卷材单位材料成本</w:t>
            </w:r>
          </w:p>
        </w:tc>
        <w:tc>
          <w:tcPr>
            <w:tcW w:w="1276" w:type="dxa"/>
            <w:shd w:val="clear" w:color="auto" w:fill="auto"/>
          </w:tcPr>
          <w:p>
            <w:r>
              <w:rPr>
                <w:rFonts w:hint="eastAsia"/>
              </w:rPr>
              <w:t>≤26元/㎡</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40" w:name="_Toc_4_4_0000000043"/>
      <w:r>
        <w:rPr>
          <w:rFonts w:ascii="方正仿宋_GBK" w:hAnsi="方正仿宋_GBK" w:eastAsia="方正仿宋_GBK" w:cs="方正仿宋_GBK"/>
          <w:color w:val="000000"/>
          <w:sz w:val="28"/>
        </w:rPr>
        <w:t>40.2022年泃阳西街道老旧小区配套基础设施改造工程绩效目标表</w:t>
      </w:r>
      <w:bookmarkEnd w:id="4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6个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C25混凝土单位材料成本</w:t>
            </w:r>
          </w:p>
        </w:tc>
        <w:tc>
          <w:tcPr>
            <w:tcW w:w="1276" w:type="dxa"/>
            <w:shd w:val="clear" w:color="auto" w:fill="auto"/>
          </w:tcPr>
          <w:p>
            <w:r>
              <w:rPr>
                <w:rFonts w:hint="eastAsia"/>
              </w:rPr>
              <w:t>≤450元/m3</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41" w:name="_Toc_4_4_0000000044"/>
      <w:r>
        <w:rPr>
          <w:rFonts w:ascii="方正仿宋_GBK" w:hAnsi="方正仿宋_GBK" w:eastAsia="方正仿宋_GBK" w:cs="方正仿宋_GBK"/>
          <w:color w:val="000000"/>
          <w:sz w:val="28"/>
        </w:rPr>
        <w:t>41.2022年保障性安居工程绩效目标表</w:t>
      </w:r>
      <w:bookmarkEnd w:id="41"/>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通过项目开展，提升居民居住幸福感。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保障性住房装修竣工率</w:t>
            </w:r>
          </w:p>
        </w:tc>
        <w:tc>
          <w:tcPr>
            <w:tcW w:w="3544" w:type="dxa"/>
            <w:shd w:val="clear" w:color="auto" w:fill="auto"/>
          </w:tcPr>
          <w:p>
            <w:r>
              <w:rPr>
                <w:rFonts w:hint="eastAsia"/>
              </w:rPr>
              <w:t>保障性住房装修竣工数量占政府当年下达任务数比率</w:t>
            </w:r>
          </w:p>
        </w:tc>
        <w:tc>
          <w:tcPr>
            <w:tcW w:w="1276" w:type="dxa"/>
            <w:shd w:val="clear" w:color="auto" w:fill="auto"/>
          </w:tcPr>
          <w:p>
            <w:r>
              <w:rPr>
                <w:rFonts w:hint="eastAsia"/>
              </w:rPr>
              <w:t>≥95%</w:t>
            </w:r>
          </w:p>
        </w:tc>
        <w:tc>
          <w:tcPr>
            <w:tcW w:w="4512" w:type="dxa"/>
            <w:shd w:val="clear" w:color="auto" w:fill="auto"/>
          </w:tcPr>
          <w:p>
            <w:r>
              <w:rPr>
                <w:rFonts w:hint="eastAsia"/>
              </w:rPr>
              <w:t>公共租赁住房管理办法（住房和城乡建设部令【2012】11号）、《河北省公共租赁住房管理办法》（冀政【2011】68号）、《廊坊市公共住房管理办法》（廊坊市人民政府令【2012】第3号）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已竣工保障性住房装修质量合格率</w:t>
            </w:r>
          </w:p>
        </w:tc>
        <w:tc>
          <w:tcPr>
            <w:tcW w:w="3544" w:type="dxa"/>
            <w:shd w:val="clear" w:color="auto" w:fill="auto"/>
          </w:tcPr>
          <w:p>
            <w:r>
              <w:rPr>
                <w:rFonts w:hint="eastAsia"/>
              </w:rPr>
              <w:t>已竣工保障性住房质量合格率占当年全部竣工保障性住房装修比率</w:t>
            </w:r>
          </w:p>
        </w:tc>
        <w:tc>
          <w:tcPr>
            <w:tcW w:w="1276" w:type="dxa"/>
            <w:shd w:val="clear" w:color="auto" w:fill="auto"/>
          </w:tcPr>
          <w:p>
            <w:r>
              <w:rPr>
                <w:rFonts w:hint="eastAsia"/>
              </w:rPr>
              <w:t>100%</w:t>
            </w:r>
          </w:p>
        </w:tc>
        <w:tc>
          <w:tcPr>
            <w:tcW w:w="4512" w:type="dxa"/>
            <w:shd w:val="clear" w:color="auto" w:fill="auto"/>
          </w:tcPr>
          <w:p>
            <w:r>
              <w:rPr>
                <w:rFonts w:hint="eastAsia"/>
              </w:rPr>
              <w:t>公共租赁住房管理办法（住房和城乡建设部令【2012】11号）、《河北省公共租赁住房管理办法》（冀政【2011】68号）、《廊坊市公共住房管理办法》（廊坊市人民政府令【2012】第3号）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按工期完成保障性住房装修率</w:t>
            </w:r>
          </w:p>
        </w:tc>
        <w:tc>
          <w:tcPr>
            <w:tcW w:w="3544" w:type="dxa"/>
            <w:shd w:val="clear" w:color="auto" w:fill="auto"/>
          </w:tcPr>
          <w:p>
            <w:r>
              <w:rPr>
                <w:rFonts w:hint="eastAsia"/>
              </w:rPr>
              <w:t>按合同约定工期完成保障性住房装修占当年全部保障性住房装修比率</w:t>
            </w:r>
          </w:p>
        </w:tc>
        <w:tc>
          <w:tcPr>
            <w:tcW w:w="1276" w:type="dxa"/>
            <w:shd w:val="clear" w:color="auto" w:fill="auto"/>
          </w:tcPr>
          <w:p>
            <w:r>
              <w:rPr>
                <w:rFonts w:hint="eastAsia"/>
              </w:rPr>
              <w:t>100%</w:t>
            </w:r>
          </w:p>
        </w:tc>
        <w:tc>
          <w:tcPr>
            <w:tcW w:w="4512" w:type="dxa"/>
            <w:shd w:val="clear" w:color="auto" w:fill="auto"/>
          </w:tcPr>
          <w:p>
            <w:r>
              <w:rPr>
                <w:rFonts w:hint="eastAsia"/>
              </w:rPr>
              <w:t>公共租赁住房管理办法（住房和城乡建设部令【2012】11号）、《河北省公共租赁住房管理办法》（冀政【2011】68号）、《廊坊市公共住房管理办法》（廊坊市人民政府令【2012】第3号）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重要材料单价</w:t>
            </w:r>
          </w:p>
        </w:tc>
        <w:tc>
          <w:tcPr>
            <w:tcW w:w="3544" w:type="dxa"/>
            <w:shd w:val="clear" w:color="auto" w:fill="auto"/>
          </w:tcPr>
          <w:p>
            <w:r>
              <w:rPr>
                <w:rFonts w:hint="eastAsia"/>
              </w:rPr>
              <w:t>立邦漆</w:t>
            </w:r>
          </w:p>
        </w:tc>
        <w:tc>
          <w:tcPr>
            <w:tcW w:w="1276" w:type="dxa"/>
            <w:shd w:val="clear" w:color="auto" w:fill="auto"/>
          </w:tcPr>
          <w:p>
            <w:r>
              <w:rPr>
                <w:rFonts w:hint="eastAsia"/>
              </w:rPr>
              <w:t>10元/千克</w:t>
            </w:r>
          </w:p>
        </w:tc>
        <w:tc>
          <w:tcPr>
            <w:tcW w:w="4512" w:type="dxa"/>
            <w:shd w:val="clear" w:color="auto" w:fill="auto"/>
          </w:tcPr>
          <w:p>
            <w:r>
              <w:rPr>
                <w:rFonts w:hint="eastAsia"/>
              </w:rPr>
              <w:t>招标控制底价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隐患消除率</w:t>
            </w:r>
          </w:p>
        </w:tc>
        <w:tc>
          <w:tcPr>
            <w:tcW w:w="3544" w:type="dxa"/>
            <w:shd w:val="clear" w:color="auto" w:fill="auto"/>
          </w:tcPr>
          <w:p>
            <w:r>
              <w:rPr>
                <w:rFonts w:hint="eastAsia"/>
              </w:rPr>
              <w:t>通过公共住房维修，及时消除安全隐患占存在安全隐患的比率</w:t>
            </w:r>
          </w:p>
        </w:tc>
        <w:tc>
          <w:tcPr>
            <w:tcW w:w="1276" w:type="dxa"/>
            <w:shd w:val="clear" w:color="auto" w:fill="auto"/>
          </w:tcPr>
          <w:p>
            <w:r>
              <w:rPr>
                <w:rFonts w:hint="eastAsia"/>
              </w:rPr>
              <w:t>≥95%</w:t>
            </w:r>
          </w:p>
        </w:tc>
        <w:tc>
          <w:tcPr>
            <w:tcW w:w="4512" w:type="dxa"/>
            <w:shd w:val="clear" w:color="auto" w:fill="auto"/>
          </w:tcPr>
          <w:p>
            <w:r>
              <w:rPr>
                <w:rFonts w:hint="eastAsia"/>
              </w:rPr>
              <w:t>公共租赁住房管理办法（住房和城乡建设部令【2012】11号）、《河北省公共租赁住房管理办法》（冀政【2011】68号）、《廊坊市公共住房管理办法》（廊坊市人民政府令【2012】第3号）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42" w:name="_Toc_4_4_0000000045"/>
      <w:r>
        <w:rPr>
          <w:rFonts w:ascii="方正仿宋_GBK" w:hAnsi="方正仿宋_GBK" w:eastAsia="方正仿宋_GBK" w:cs="方正仿宋_GBK"/>
          <w:color w:val="000000"/>
          <w:sz w:val="28"/>
        </w:rPr>
        <w:t>42.2022年度热力系统维修维护及应急抢修服务绩效目标表</w:t>
      </w:r>
      <w:bookmarkEnd w:id="42"/>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按时供热，确保供热质量，提高供热服务水平，做到用户室温合格率98%以上，用户报修处理及时，报修率应达到%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热源厂及换热机组维检修个数</w:t>
            </w:r>
          </w:p>
        </w:tc>
        <w:tc>
          <w:tcPr>
            <w:tcW w:w="3544" w:type="dxa"/>
            <w:shd w:val="clear" w:color="auto" w:fill="auto"/>
          </w:tcPr>
          <w:p>
            <w:r>
              <w:rPr>
                <w:rFonts w:hint="eastAsia"/>
              </w:rPr>
              <w:t>工程维检修改造热源厂及换热站总个数</w:t>
            </w:r>
          </w:p>
        </w:tc>
        <w:tc>
          <w:tcPr>
            <w:tcW w:w="1276" w:type="dxa"/>
            <w:shd w:val="clear" w:color="auto" w:fill="auto"/>
          </w:tcPr>
          <w:p>
            <w:r>
              <w:rPr>
                <w:rFonts w:hint="eastAsia"/>
              </w:rPr>
              <w:t>≥80个</w:t>
            </w:r>
          </w:p>
        </w:tc>
        <w:tc>
          <w:tcPr>
            <w:tcW w:w="4512"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工程量完成占总工程量比率</w:t>
            </w:r>
          </w:p>
        </w:tc>
        <w:tc>
          <w:tcPr>
            <w:tcW w:w="3544" w:type="dxa"/>
            <w:shd w:val="clear" w:color="auto" w:fill="auto"/>
          </w:tcPr>
          <w:p>
            <w:r>
              <w:rPr>
                <w:rFonts w:hint="eastAsia"/>
              </w:rPr>
              <w:t>实际完成工程量占计划完成工程量的比率</w:t>
            </w:r>
          </w:p>
        </w:tc>
        <w:tc>
          <w:tcPr>
            <w:tcW w:w="1276" w:type="dxa"/>
            <w:shd w:val="clear" w:color="auto" w:fill="auto"/>
          </w:tcPr>
          <w:p>
            <w:r>
              <w:rPr>
                <w:rFonts w:hint="eastAsia"/>
              </w:rPr>
              <w:t>100%</w:t>
            </w:r>
          </w:p>
        </w:tc>
        <w:tc>
          <w:tcPr>
            <w:tcW w:w="4512"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工程按期完成占总工程比率</w:t>
            </w:r>
          </w:p>
        </w:tc>
        <w:tc>
          <w:tcPr>
            <w:tcW w:w="3544" w:type="dxa"/>
            <w:shd w:val="clear" w:color="auto" w:fill="auto"/>
          </w:tcPr>
          <w:p>
            <w:r>
              <w:rPr>
                <w:rFonts w:hint="eastAsia"/>
              </w:rPr>
              <w:t>按期完成的工程量占总工程量的比率</w:t>
            </w:r>
          </w:p>
        </w:tc>
        <w:tc>
          <w:tcPr>
            <w:tcW w:w="1276" w:type="dxa"/>
            <w:shd w:val="clear" w:color="auto" w:fill="auto"/>
          </w:tcPr>
          <w:p>
            <w:r>
              <w:rPr>
                <w:rFonts w:hint="eastAsia"/>
              </w:rPr>
              <w:t>100%</w:t>
            </w:r>
          </w:p>
        </w:tc>
        <w:tc>
          <w:tcPr>
            <w:tcW w:w="4512"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维检修个数单位成本</w:t>
            </w:r>
          </w:p>
        </w:tc>
        <w:tc>
          <w:tcPr>
            <w:tcW w:w="3544" w:type="dxa"/>
            <w:shd w:val="clear" w:color="auto" w:fill="auto"/>
          </w:tcPr>
          <w:p>
            <w:r>
              <w:rPr>
                <w:rFonts w:hint="eastAsia"/>
              </w:rPr>
              <w:t>工程维检修各种设备平均成本</w:t>
            </w:r>
          </w:p>
        </w:tc>
        <w:tc>
          <w:tcPr>
            <w:tcW w:w="1276" w:type="dxa"/>
            <w:shd w:val="clear" w:color="auto" w:fill="auto"/>
          </w:tcPr>
          <w:p>
            <w:r>
              <w:rPr>
                <w:rFonts w:hint="eastAsia"/>
              </w:rPr>
              <w:t>≤1000元/个</w:t>
            </w:r>
          </w:p>
        </w:tc>
        <w:tc>
          <w:tcPr>
            <w:tcW w:w="4512"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经济效益指标</w:t>
            </w:r>
          </w:p>
        </w:tc>
        <w:tc>
          <w:tcPr>
            <w:tcW w:w="1843" w:type="dxa"/>
            <w:shd w:val="clear" w:color="auto" w:fill="auto"/>
          </w:tcPr>
          <w:p>
            <w:r>
              <w:rPr>
                <w:rFonts w:hint="eastAsia"/>
              </w:rPr>
              <w:t>基础设施完好率</w:t>
            </w:r>
          </w:p>
        </w:tc>
        <w:tc>
          <w:tcPr>
            <w:tcW w:w="3544" w:type="dxa"/>
            <w:shd w:val="clear" w:color="auto" w:fill="auto"/>
          </w:tcPr>
          <w:p>
            <w:r>
              <w:rPr>
                <w:rFonts w:hint="eastAsia"/>
              </w:rPr>
              <w:t>厂内设备完好数量占厂内设备总数量的比率</w:t>
            </w:r>
          </w:p>
        </w:tc>
        <w:tc>
          <w:tcPr>
            <w:tcW w:w="1276" w:type="dxa"/>
            <w:shd w:val="clear" w:color="auto" w:fill="auto"/>
          </w:tcPr>
          <w:p>
            <w:r>
              <w:rPr>
                <w:rFonts w:hint="eastAsia"/>
              </w:rPr>
              <w:t>≥95%</w:t>
            </w:r>
          </w:p>
        </w:tc>
        <w:tc>
          <w:tcPr>
            <w:tcW w:w="4512" w:type="dxa"/>
            <w:shd w:val="clear" w:color="auto" w:fill="auto"/>
          </w:tcPr>
          <w:p>
            <w:r>
              <w:rPr>
                <w:rFonts w:hint="eastAsia"/>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隐患消除完成率</w:t>
            </w:r>
          </w:p>
        </w:tc>
        <w:tc>
          <w:tcPr>
            <w:tcW w:w="3544" w:type="dxa"/>
            <w:shd w:val="clear" w:color="auto" w:fill="auto"/>
          </w:tcPr>
          <w:p>
            <w:r>
              <w:rPr>
                <w:rFonts w:hint="eastAsia"/>
              </w:rPr>
              <w:t>通过维护改造，消除安全隐患的比率</w:t>
            </w:r>
          </w:p>
        </w:tc>
        <w:tc>
          <w:tcPr>
            <w:tcW w:w="1276" w:type="dxa"/>
            <w:shd w:val="clear" w:color="auto" w:fill="auto"/>
          </w:tcPr>
          <w:p>
            <w:r>
              <w:rPr>
                <w:rFonts w:hint="eastAsia"/>
              </w:rPr>
              <w:t>≥95%</w:t>
            </w:r>
          </w:p>
        </w:tc>
        <w:tc>
          <w:tcPr>
            <w:tcW w:w="4512" w:type="dxa"/>
            <w:shd w:val="clear" w:color="auto" w:fill="auto"/>
          </w:tcPr>
          <w:p>
            <w:r>
              <w:rPr>
                <w:rFonts w:hint="eastAsia"/>
              </w:rPr>
              <w:t>合同约定</w:t>
            </w:r>
          </w:p>
        </w:tc>
      </w:tr>
    </w:tbl>
    <w:p>
      <w:pPr>
        <w:ind w:firstLine="560"/>
        <w:outlineLvl w:val="3"/>
      </w:pPr>
      <w:bookmarkStart w:id="43" w:name="_Toc_4_4_0000000046"/>
      <w:r>
        <w:rPr>
          <w:rFonts w:ascii="方正仿宋_GBK" w:hAnsi="方正仿宋_GBK" w:eastAsia="方正仿宋_GBK" w:cs="方正仿宋_GBK"/>
          <w:color w:val="000000"/>
          <w:sz w:val="28"/>
        </w:rPr>
        <w:t>43.2022年公共住房维修绩效目标表</w:t>
      </w:r>
      <w:bookmarkEnd w:id="43"/>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通过项目开展，提升居民居住幸福感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保障性住房装修竣工率</w:t>
            </w:r>
          </w:p>
        </w:tc>
        <w:tc>
          <w:tcPr>
            <w:tcW w:w="3544" w:type="dxa"/>
            <w:shd w:val="clear" w:color="auto" w:fill="auto"/>
          </w:tcPr>
          <w:p>
            <w:r>
              <w:rPr>
                <w:rFonts w:hint="eastAsia"/>
              </w:rPr>
              <w:t>保障性住房装修竣工数量占政府当年下达任务数比率</w:t>
            </w:r>
          </w:p>
        </w:tc>
        <w:tc>
          <w:tcPr>
            <w:tcW w:w="1276" w:type="dxa"/>
            <w:shd w:val="clear" w:color="auto" w:fill="auto"/>
          </w:tcPr>
          <w:p>
            <w:r>
              <w:rPr>
                <w:rFonts w:hint="eastAsia"/>
              </w:rPr>
              <w:t>≥95%</w:t>
            </w:r>
          </w:p>
        </w:tc>
        <w:tc>
          <w:tcPr>
            <w:tcW w:w="4512" w:type="dxa"/>
            <w:shd w:val="clear" w:color="auto" w:fill="auto"/>
          </w:tcPr>
          <w:p>
            <w:r>
              <w:rPr>
                <w:rFonts w:hint="eastAsia"/>
              </w:rPr>
              <w:t>公共租赁住房管理办法（住房和城乡建设部令【2012】11号）、《河北省公共租赁住房管理办法》（冀政【2011】68号）、《廊坊市公共住房管理办法》（廊坊市人民政府令【2012】第3号）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已竣工保障性住房装修质量合格率</w:t>
            </w:r>
          </w:p>
        </w:tc>
        <w:tc>
          <w:tcPr>
            <w:tcW w:w="3544" w:type="dxa"/>
            <w:shd w:val="clear" w:color="auto" w:fill="auto"/>
          </w:tcPr>
          <w:p>
            <w:r>
              <w:rPr>
                <w:rFonts w:hint="eastAsia"/>
              </w:rPr>
              <w:t>已竣工保障性住房质量合格率占当年全部竣工保障性住房装修比率</w:t>
            </w:r>
          </w:p>
        </w:tc>
        <w:tc>
          <w:tcPr>
            <w:tcW w:w="1276" w:type="dxa"/>
            <w:shd w:val="clear" w:color="auto" w:fill="auto"/>
          </w:tcPr>
          <w:p>
            <w:r>
              <w:rPr>
                <w:rFonts w:hint="eastAsia"/>
              </w:rPr>
              <w:t>100%</w:t>
            </w:r>
          </w:p>
        </w:tc>
        <w:tc>
          <w:tcPr>
            <w:tcW w:w="4512" w:type="dxa"/>
            <w:shd w:val="clear" w:color="auto" w:fill="auto"/>
          </w:tcPr>
          <w:p>
            <w:r>
              <w:rPr>
                <w:rFonts w:hint="eastAsia"/>
              </w:rPr>
              <w:t>公共租赁住房管理办法（住房和城乡建设部令【2012】11号）、《河北省公共租赁住房管理办法》（冀政【2011】68号）、《廊坊市公共住房管理办法》（廊坊市人民政府令【2012】第3号）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按工期完成保障性住房装修率</w:t>
            </w:r>
          </w:p>
        </w:tc>
        <w:tc>
          <w:tcPr>
            <w:tcW w:w="3544" w:type="dxa"/>
            <w:shd w:val="clear" w:color="auto" w:fill="auto"/>
          </w:tcPr>
          <w:p>
            <w:r>
              <w:rPr>
                <w:rFonts w:hint="eastAsia"/>
              </w:rPr>
              <w:t>按合同约定工期完成保障性住房装修占当年全部保障性住房装修比率</w:t>
            </w:r>
          </w:p>
        </w:tc>
        <w:tc>
          <w:tcPr>
            <w:tcW w:w="1276" w:type="dxa"/>
            <w:shd w:val="clear" w:color="auto" w:fill="auto"/>
          </w:tcPr>
          <w:p>
            <w:r>
              <w:rPr>
                <w:rFonts w:hint="eastAsia"/>
              </w:rPr>
              <w:t>100%</w:t>
            </w:r>
          </w:p>
        </w:tc>
        <w:tc>
          <w:tcPr>
            <w:tcW w:w="4512" w:type="dxa"/>
            <w:shd w:val="clear" w:color="auto" w:fill="auto"/>
          </w:tcPr>
          <w:p>
            <w:r>
              <w:rPr>
                <w:rFonts w:hint="eastAsia"/>
              </w:rPr>
              <w:t>公共租赁住房管理办法（住房和城乡建设部令【2012】11号）、《河北省公共租赁住房管理办法》（冀政【2011】68号）、《廊坊市公共住房管理办法》（廊坊市人民政府令【2012】第3号）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重要材料单价</w:t>
            </w:r>
          </w:p>
        </w:tc>
        <w:tc>
          <w:tcPr>
            <w:tcW w:w="3544" w:type="dxa"/>
            <w:shd w:val="clear" w:color="auto" w:fill="auto"/>
          </w:tcPr>
          <w:p>
            <w:r>
              <w:rPr>
                <w:rFonts w:hint="eastAsia"/>
              </w:rPr>
              <w:t>立邦漆</w:t>
            </w:r>
          </w:p>
        </w:tc>
        <w:tc>
          <w:tcPr>
            <w:tcW w:w="1276" w:type="dxa"/>
            <w:shd w:val="clear" w:color="auto" w:fill="auto"/>
          </w:tcPr>
          <w:p>
            <w:r>
              <w:rPr>
                <w:rFonts w:hint="eastAsia"/>
              </w:rPr>
              <w:t>10元/千克</w:t>
            </w:r>
          </w:p>
        </w:tc>
        <w:tc>
          <w:tcPr>
            <w:tcW w:w="4512" w:type="dxa"/>
            <w:shd w:val="clear" w:color="auto" w:fill="auto"/>
          </w:tcPr>
          <w:p>
            <w:r>
              <w:rPr>
                <w:rFonts w:hint="eastAsia"/>
              </w:rPr>
              <w:t>招标控制底价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隐患消除率</w:t>
            </w:r>
          </w:p>
        </w:tc>
        <w:tc>
          <w:tcPr>
            <w:tcW w:w="3544" w:type="dxa"/>
            <w:shd w:val="clear" w:color="auto" w:fill="auto"/>
          </w:tcPr>
          <w:p>
            <w:r>
              <w:rPr>
                <w:rFonts w:hint="eastAsia"/>
              </w:rPr>
              <w:t>通过公共住房维修，及时消除安全隐患占存在安全隐患的比率</w:t>
            </w:r>
          </w:p>
        </w:tc>
        <w:tc>
          <w:tcPr>
            <w:tcW w:w="1276" w:type="dxa"/>
            <w:shd w:val="clear" w:color="auto" w:fill="auto"/>
          </w:tcPr>
          <w:p>
            <w:r>
              <w:rPr>
                <w:rFonts w:hint="eastAsia"/>
              </w:rPr>
              <w:t>≥95%</w:t>
            </w:r>
          </w:p>
        </w:tc>
        <w:tc>
          <w:tcPr>
            <w:tcW w:w="4512" w:type="dxa"/>
            <w:shd w:val="clear" w:color="auto" w:fill="auto"/>
          </w:tcPr>
          <w:p>
            <w:r>
              <w:rPr>
                <w:rFonts w:hint="eastAsia"/>
              </w:rPr>
              <w:t>公共租赁住房管理办法（住房和城乡建设部令【2012】11号）、《河北省公共租赁住房管理办法》（冀政【2011】68号）、《廊坊市公共住房管理办法》（廊坊市人民政府令【2012】第3号）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入住保障性住房的住户满意度比率</w:t>
            </w:r>
          </w:p>
        </w:tc>
        <w:tc>
          <w:tcPr>
            <w:tcW w:w="3544" w:type="dxa"/>
            <w:shd w:val="clear" w:color="auto" w:fill="auto"/>
          </w:tcPr>
          <w:p>
            <w:r>
              <w:rPr>
                <w:rFonts w:hint="eastAsia"/>
              </w:rPr>
              <w:t>受益群体调查中，满意和较满意的人数占全部调查人数的比率</w:t>
            </w:r>
          </w:p>
        </w:tc>
        <w:tc>
          <w:tcPr>
            <w:tcW w:w="1276" w:type="dxa"/>
            <w:shd w:val="clear" w:color="auto" w:fill="auto"/>
          </w:tcPr>
          <w:p>
            <w:r>
              <w:rPr>
                <w:rFonts w:hint="eastAsia"/>
              </w:rPr>
              <w:t>≥90%</w:t>
            </w:r>
          </w:p>
        </w:tc>
        <w:tc>
          <w:tcPr>
            <w:tcW w:w="4512" w:type="dxa"/>
            <w:shd w:val="clear" w:color="auto" w:fill="auto"/>
          </w:tcPr>
          <w:p>
            <w:r>
              <w:rPr>
                <w:rFonts w:hint="eastAsia"/>
              </w:rPr>
              <w:t>物业公司《小区居民意见簿》</w:t>
            </w:r>
          </w:p>
        </w:tc>
      </w:tr>
    </w:tbl>
    <w:p>
      <w:pPr>
        <w:ind w:firstLine="560"/>
        <w:outlineLvl w:val="3"/>
      </w:pPr>
      <w:bookmarkStart w:id="44" w:name="_Toc_4_4_0000000047"/>
      <w:r>
        <w:rPr>
          <w:rFonts w:ascii="方正仿宋_GBK" w:hAnsi="方正仿宋_GBK" w:eastAsia="方正仿宋_GBK" w:cs="方正仿宋_GBK"/>
          <w:color w:val="000000"/>
          <w:sz w:val="28"/>
        </w:rPr>
        <w:t>44.2022年康城街道北片老旧小区建筑主体改造工程绩效目标表</w:t>
      </w:r>
      <w:bookmarkEnd w:id="44"/>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8个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4mmSBS改性沥青防水卷材单位材料成本</w:t>
            </w:r>
          </w:p>
        </w:tc>
        <w:tc>
          <w:tcPr>
            <w:tcW w:w="1276" w:type="dxa"/>
            <w:shd w:val="clear" w:color="auto" w:fill="auto"/>
          </w:tcPr>
          <w:p>
            <w:r>
              <w:rPr>
                <w:rFonts w:hint="eastAsia"/>
              </w:rPr>
              <w:t>≤26元/㎡</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45" w:name="_Toc_4_4_0000000048"/>
      <w:r>
        <w:rPr>
          <w:rFonts w:ascii="方正仿宋_GBK" w:hAnsi="方正仿宋_GBK" w:eastAsia="方正仿宋_GBK" w:cs="方正仿宋_GBK"/>
          <w:color w:val="000000"/>
          <w:sz w:val="28"/>
        </w:rPr>
        <w:t>45.2022年康城街道北片老旧小区配套基础设施改造工程绩效目标表</w:t>
      </w:r>
      <w:bookmarkEnd w:id="45"/>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8个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C25混凝土单位材料成本</w:t>
            </w:r>
          </w:p>
        </w:tc>
        <w:tc>
          <w:tcPr>
            <w:tcW w:w="1276" w:type="dxa"/>
            <w:shd w:val="clear" w:color="auto" w:fill="auto"/>
          </w:tcPr>
          <w:p>
            <w:r>
              <w:rPr>
                <w:rFonts w:hint="eastAsia"/>
              </w:rPr>
              <w:t>≤450元/m3</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46" w:name="_Toc_4_4_0000000049"/>
      <w:r>
        <w:rPr>
          <w:rFonts w:ascii="方正仿宋_GBK" w:hAnsi="方正仿宋_GBK" w:eastAsia="方正仿宋_GBK" w:cs="方正仿宋_GBK"/>
          <w:color w:val="000000"/>
          <w:sz w:val="28"/>
        </w:rPr>
        <w:t>46.2022年康城街道铁南社区老旧小区建筑主体改造工程绩效目标表</w:t>
      </w:r>
      <w:bookmarkEnd w:id="46"/>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3个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4mmSBS改性沥青防水卷材单位材料成本</w:t>
            </w:r>
          </w:p>
        </w:tc>
        <w:tc>
          <w:tcPr>
            <w:tcW w:w="1276" w:type="dxa"/>
            <w:shd w:val="clear" w:color="auto" w:fill="auto"/>
          </w:tcPr>
          <w:p>
            <w:r>
              <w:rPr>
                <w:rFonts w:hint="eastAsia"/>
              </w:rPr>
              <w:t>≤26元/㎡</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47" w:name="_Toc_4_4_0000000050"/>
      <w:r>
        <w:rPr>
          <w:rFonts w:ascii="方正仿宋_GBK" w:hAnsi="方正仿宋_GBK" w:eastAsia="方正仿宋_GBK" w:cs="方正仿宋_GBK"/>
          <w:color w:val="000000"/>
          <w:sz w:val="28"/>
        </w:rPr>
        <w:t>47.2022年康城街道铁南社区老旧小区配套基础设施改造工程绩效目标表</w:t>
      </w:r>
      <w:bookmarkEnd w:id="47"/>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3个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C25混凝土单位材料成本</w:t>
            </w:r>
          </w:p>
        </w:tc>
        <w:tc>
          <w:tcPr>
            <w:tcW w:w="1276" w:type="dxa"/>
            <w:shd w:val="clear" w:color="auto" w:fill="auto"/>
          </w:tcPr>
          <w:p>
            <w:r>
              <w:rPr>
                <w:rFonts w:hint="eastAsia"/>
              </w:rPr>
              <w:t>≤450元/m3</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48" w:name="_Toc_4_4_0000000051"/>
      <w:r>
        <w:rPr>
          <w:rFonts w:ascii="方正仿宋_GBK" w:hAnsi="方正仿宋_GBK" w:eastAsia="方正仿宋_GBK" w:cs="方正仿宋_GBK"/>
          <w:color w:val="000000"/>
          <w:sz w:val="28"/>
        </w:rPr>
        <w:t>48.2022年老旧小区建筑主体改造工程材料检测绩效目标表</w:t>
      </w:r>
      <w:bookmarkEnd w:id="48"/>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通过项目开展，严格控制、把握施工质量。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完成材料检测小区数量</w:t>
            </w:r>
          </w:p>
        </w:tc>
        <w:tc>
          <w:tcPr>
            <w:tcW w:w="3544" w:type="dxa"/>
            <w:shd w:val="clear" w:color="auto" w:fill="auto"/>
          </w:tcPr>
          <w:p>
            <w:r>
              <w:rPr>
                <w:rFonts w:hint="eastAsia"/>
              </w:rPr>
              <w:t>完成2022年老旧小区建筑主体改造工程材料检测小区数量</w:t>
            </w:r>
          </w:p>
        </w:tc>
        <w:tc>
          <w:tcPr>
            <w:tcW w:w="1276" w:type="dxa"/>
            <w:shd w:val="clear" w:color="auto" w:fill="auto"/>
          </w:tcPr>
          <w:p>
            <w:r>
              <w:rPr>
                <w:rFonts w:hint="eastAsia"/>
              </w:rPr>
              <w:t>49个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材料检测合格率（%）</w:t>
            </w:r>
          </w:p>
        </w:tc>
        <w:tc>
          <w:tcPr>
            <w:tcW w:w="3544" w:type="dxa"/>
            <w:shd w:val="clear" w:color="auto" w:fill="auto"/>
          </w:tcPr>
          <w:p>
            <w:r>
              <w:rPr>
                <w:rFonts w:hint="eastAsia"/>
              </w:rPr>
              <w:t>通过材料检测的工程量占总工程量的比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材料检测按期完成率（%）</w:t>
            </w:r>
          </w:p>
        </w:tc>
        <w:tc>
          <w:tcPr>
            <w:tcW w:w="3544" w:type="dxa"/>
            <w:shd w:val="clear" w:color="auto" w:fill="auto"/>
          </w:tcPr>
          <w:p>
            <w:r>
              <w:rPr>
                <w:rFonts w:hint="eastAsia"/>
              </w:rPr>
              <w:t>按期完成材料检测的工程量占总工程量的比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SBS改性沥青防水卷材不透水性、耐热性、拉力、延伸率、低温柔性单位材料检测费</w:t>
            </w:r>
          </w:p>
        </w:tc>
        <w:tc>
          <w:tcPr>
            <w:tcW w:w="1276" w:type="dxa"/>
            <w:shd w:val="clear" w:color="auto" w:fill="auto"/>
          </w:tcPr>
          <w:p>
            <w:r>
              <w:rPr>
                <w:rFonts w:hint="eastAsia"/>
              </w:rPr>
              <w:t>≤590元/次</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49" w:name="_Toc_4_4_0000000052"/>
      <w:r>
        <w:rPr>
          <w:rFonts w:ascii="方正仿宋_GBK" w:hAnsi="方正仿宋_GBK" w:eastAsia="方正仿宋_GBK" w:cs="方正仿宋_GBK"/>
          <w:color w:val="000000"/>
          <w:sz w:val="28"/>
        </w:rPr>
        <w:t>49.2022年老旧小区配套基础设施改造工程材料检测绩效目标表</w:t>
      </w:r>
      <w:bookmarkEnd w:id="49"/>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通过项目开展，严格控制、把握施工质量。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完成材料检测小区数量</w:t>
            </w:r>
          </w:p>
        </w:tc>
        <w:tc>
          <w:tcPr>
            <w:tcW w:w="3544" w:type="dxa"/>
            <w:shd w:val="clear" w:color="auto" w:fill="auto"/>
          </w:tcPr>
          <w:p>
            <w:r>
              <w:rPr>
                <w:rFonts w:hint="eastAsia"/>
              </w:rPr>
              <w:t>完成2022年老旧小区配套基础设施改造工程材料检测小区数量</w:t>
            </w:r>
          </w:p>
        </w:tc>
        <w:tc>
          <w:tcPr>
            <w:tcW w:w="1276" w:type="dxa"/>
            <w:shd w:val="clear" w:color="auto" w:fill="auto"/>
          </w:tcPr>
          <w:p>
            <w:r>
              <w:rPr>
                <w:rFonts w:hint="eastAsia"/>
              </w:rPr>
              <w:t>＝49个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材料检测合格率（%）</w:t>
            </w:r>
          </w:p>
        </w:tc>
        <w:tc>
          <w:tcPr>
            <w:tcW w:w="3544" w:type="dxa"/>
            <w:shd w:val="clear" w:color="auto" w:fill="auto"/>
          </w:tcPr>
          <w:p>
            <w:r>
              <w:rPr>
                <w:rFonts w:hint="eastAsia"/>
              </w:rPr>
              <w:t>通过材料检测的工程量占总工程量的比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材料检测按期完成率（%）</w:t>
            </w:r>
          </w:p>
        </w:tc>
        <w:tc>
          <w:tcPr>
            <w:tcW w:w="3544" w:type="dxa"/>
            <w:shd w:val="clear" w:color="auto" w:fill="auto"/>
          </w:tcPr>
          <w:p>
            <w:r>
              <w:rPr>
                <w:rFonts w:hint="eastAsia"/>
              </w:rPr>
              <w:t>按期完成材料检测的工程量占总工程量的比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混凝土砂浆试块抗压强度单位材料检测费</w:t>
            </w:r>
          </w:p>
        </w:tc>
        <w:tc>
          <w:tcPr>
            <w:tcW w:w="1276" w:type="dxa"/>
            <w:shd w:val="clear" w:color="auto" w:fill="auto"/>
          </w:tcPr>
          <w:p>
            <w:r>
              <w:rPr>
                <w:rFonts w:hint="eastAsia"/>
              </w:rPr>
              <w:t>≤55元/次</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50" w:name="_Toc_4_4_0000000053"/>
      <w:r>
        <w:rPr>
          <w:rFonts w:ascii="方正仿宋_GBK" w:hAnsi="方正仿宋_GBK" w:eastAsia="方正仿宋_GBK" w:cs="方正仿宋_GBK"/>
          <w:color w:val="000000"/>
          <w:sz w:val="28"/>
        </w:rPr>
        <w:t>50.2022年行宫东街道二四社区老旧小区建筑主体改造工程绩效目标表</w:t>
      </w:r>
      <w:bookmarkEnd w:id="5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4个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4mmSBS改性沥青防水卷材单位材料成本</w:t>
            </w:r>
          </w:p>
        </w:tc>
        <w:tc>
          <w:tcPr>
            <w:tcW w:w="1276" w:type="dxa"/>
            <w:shd w:val="clear" w:color="auto" w:fill="auto"/>
          </w:tcPr>
          <w:p>
            <w:r>
              <w:rPr>
                <w:rFonts w:hint="eastAsia"/>
              </w:rPr>
              <w:t>≤26元/㎡</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51" w:name="_Toc_4_4_0000000054"/>
      <w:r>
        <w:rPr>
          <w:rFonts w:ascii="方正仿宋_GBK" w:hAnsi="方正仿宋_GBK" w:eastAsia="方正仿宋_GBK" w:cs="方正仿宋_GBK"/>
          <w:color w:val="000000"/>
          <w:sz w:val="28"/>
        </w:rPr>
        <w:t>51.2022年行宫东街道二四社区老旧小区配套基础设施改造工程绩效目标表</w:t>
      </w:r>
      <w:bookmarkEnd w:id="51"/>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4个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C25混凝土单位材料成本</w:t>
            </w:r>
          </w:p>
        </w:tc>
        <w:tc>
          <w:tcPr>
            <w:tcW w:w="1276" w:type="dxa"/>
            <w:shd w:val="clear" w:color="auto" w:fill="auto"/>
          </w:tcPr>
          <w:p>
            <w:r>
              <w:rPr>
                <w:rFonts w:hint="eastAsia"/>
              </w:rPr>
              <w:t>≤450元/m3</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52" w:name="_Toc_4_4_0000000055"/>
      <w:r>
        <w:rPr>
          <w:rFonts w:ascii="方正仿宋_GBK" w:hAnsi="方正仿宋_GBK" w:eastAsia="方正仿宋_GBK" w:cs="方正仿宋_GBK"/>
          <w:color w:val="000000"/>
          <w:sz w:val="28"/>
        </w:rPr>
        <w:t>52.2022年行宫东街道燕兴和中建社区老旧小区建筑主体改造工程绩效目标表</w:t>
      </w:r>
      <w:bookmarkEnd w:id="52"/>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6个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4mmSBS改性沥青防水卷材单位材料成本</w:t>
            </w:r>
          </w:p>
        </w:tc>
        <w:tc>
          <w:tcPr>
            <w:tcW w:w="1276" w:type="dxa"/>
            <w:shd w:val="clear" w:color="auto" w:fill="auto"/>
          </w:tcPr>
          <w:p>
            <w:r>
              <w:rPr>
                <w:rFonts w:hint="eastAsia"/>
              </w:rPr>
              <w:t>≤26元/㎡</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53" w:name="_Toc_4_4_0000000056"/>
      <w:r>
        <w:rPr>
          <w:rFonts w:ascii="方正仿宋_GBK" w:hAnsi="方正仿宋_GBK" w:eastAsia="方正仿宋_GBK" w:cs="方正仿宋_GBK"/>
          <w:color w:val="000000"/>
          <w:sz w:val="28"/>
        </w:rPr>
        <w:t>53.2022年行宫东街道燕兴和中建社区老旧小区配套基础设施改造工程绩效目标表</w:t>
      </w:r>
      <w:bookmarkEnd w:id="53"/>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6个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C25混凝土单位材料成本</w:t>
            </w:r>
          </w:p>
        </w:tc>
        <w:tc>
          <w:tcPr>
            <w:tcW w:w="1276" w:type="dxa"/>
            <w:shd w:val="clear" w:color="auto" w:fill="auto"/>
          </w:tcPr>
          <w:p>
            <w:r>
              <w:rPr>
                <w:rFonts w:hint="eastAsia"/>
              </w:rPr>
              <w:t>≤450元/m3</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54" w:name="_Toc_4_4_0000000057"/>
      <w:r>
        <w:rPr>
          <w:rFonts w:ascii="方正仿宋_GBK" w:hAnsi="方正仿宋_GBK" w:eastAsia="方正仿宋_GBK" w:cs="方正仿宋_GBK"/>
          <w:color w:val="000000"/>
          <w:sz w:val="28"/>
        </w:rPr>
        <w:t>54.2022年行宫东街道迎宾社区老旧小区建筑主体改造工程绩效目标表</w:t>
      </w:r>
      <w:bookmarkEnd w:id="54"/>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2个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4mmSBS改性沥青防水卷材单位材料成本</w:t>
            </w:r>
          </w:p>
        </w:tc>
        <w:tc>
          <w:tcPr>
            <w:tcW w:w="1276" w:type="dxa"/>
            <w:shd w:val="clear" w:color="auto" w:fill="auto"/>
          </w:tcPr>
          <w:p>
            <w:r>
              <w:rPr>
                <w:rFonts w:hint="eastAsia"/>
              </w:rPr>
              <w:t>≤26元/㎡</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55" w:name="_Toc_4_4_0000000058"/>
      <w:r>
        <w:rPr>
          <w:rFonts w:ascii="方正仿宋_GBK" w:hAnsi="方正仿宋_GBK" w:eastAsia="方正仿宋_GBK" w:cs="方正仿宋_GBK"/>
          <w:color w:val="000000"/>
          <w:sz w:val="28"/>
        </w:rPr>
        <w:t>55.2022年行宫东街道迎宾社区老旧小区配套基础设施改造工程绩效目标表</w:t>
      </w:r>
      <w:bookmarkEnd w:id="55"/>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2个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C25混凝土单位材料成本</w:t>
            </w:r>
          </w:p>
        </w:tc>
        <w:tc>
          <w:tcPr>
            <w:tcW w:w="1276" w:type="dxa"/>
            <w:shd w:val="clear" w:color="auto" w:fill="auto"/>
          </w:tcPr>
          <w:p>
            <w:r>
              <w:rPr>
                <w:rFonts w:hint="eastAsia"/>
              </w:rPr>
              <w:t>≤450元/m3</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56" w:name="_Toc_4_4_0000000059"/>
      <w:r>
        <w:rPr>
          <w:rFonts w:ascii="方正仿宋_GBK" w:hAnsi="方正仿宋_GBK" w:eastAsia="方正仿宋_GBK" w:cs="方正仿宋_GBK"/>
          <w:color w:val="000000"/>
          <w:sz w:val="28"/>
        </w:rPr>
        <w:t>56.2022年迎宾北路街道步行街和学院社区老旧小区建筑主体改造工程绩效目标表</w:t>
      </w:r>
      <w:bookmarkEnd w:id="56"/>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6个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4mmSBS改性沥青防水卷材单位材料成本</w:t>
            </w:r>
          </w:p>
        </w:tc>
        <w:tc>
          <w:tcPr>
            <w:tcW w:w="1276" w:type="dxa"/>
            <w:shd w:val="clear" w:color="auto" w:fill="auto"/>
          </w:tcPr>
          <w:p>
            <w:r>
              <w:rPr>
                <w:rFonts w:hint="eastAsia"/>
              </w:rPr>
              <w:t>≤26元/㎡</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57" w:name="_Toc_4_4_0000000060"/>
      <w:r>
        <w:rPr>
          <w:rFonts w:ascii="方正仿宋_GBK" w:hAnsi="方正仿宋_GBK" w:eastAsia="方正仿宋_GBK" w:cs="方正仿宋_GBK"/>
          <w:color w:val="000000"/>
          <w:sz w:val="28"/>
        </w:rPr>
        <w:t>57.2022年迎宾北路街道步行街和学院社区老旧小区配套基础设施改造工程绩效目标表</w:t>
      </w:r>
      <w:bookmarkEnd w:id="57"/>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6个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C25混凝土单位材料成本</w:t>
            </w:r>
          </w:p>
        </w:tc>
        <w:tc>
          <w:tcPr>
            <w:tcW w:w="1276" w:type="dxa"/>
            <w:shd w:val="clear" w:color="auto" w:fill="auto"/>
          </w:tcPr>
          <w:p>
            <w:r>
              <w:rPr>
                <w:rFonts w:hint="eastAsia"/>
              </w:rPr>
              <w:t>≤450元/m3</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58" w:name="_Toc_4_4_0000000061"/>
      <w:r>
        <w:rPr>
          <w:rFonts w:ascii="方正仿宋_GBK" w:hAnsi="方正仿宋_GBK" w:eastAsia="方正仿宋_GBK" w:cs="方正仿宋_GBK"/>
          <w:color w:val="000000"/>
          <w:sz w:val="28"/>
        </w:rPr>
        <w:t>58.2022年迎宾北路街道东方御景老旧小区建筑主体改造工程绩效目标表</w:t>
      </w:r>
      <w:bookmarkEnd w:id="58"/>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1个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4mmSBS改性沥青防水卷材单位材料成本</w:t>
            </w:r>
          </w:p>
        </w:tc>
        <w:tc>
          <w:tcPr>
            <w:tcW w:w="1276" w:type="dxa"/>
            <w:shd w:val="clear" w:color="auto" w:fill="auto"/>
          </w:tcPr>
          <w:p>
            <w:r>
              <w:rPr>
                <w:rFonts w:hint="eastAsia"/>
              </w:rPr>
              <w:t>≤26元/㎡</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59" w:name="_Toc_4_4_0000000062"/>
      <w:r>
        <w:rPr>
          <w:rFonts w:ascii="方正仿宋_GBK" w:hAnsi="方正仿宋_GBK" w:eastAsia="方正仿宋_GBK" w:cs="方正仿宋_GBK"/>
          <w:color w:val="000000"/>
          <w:sz w:val="28"/>
        </w:rPr>
        <w:t>59.2022年迎宾北路街道东方御景老旧小区配套基础设施改造工程绩效目标表</w:t>
      </w:r>
      <w:bookmarkEnd w:id="59"/>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1个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C25混凝土单位材料成本</w:t>
            </w:r>
          </w:p>
        </w:tc>
        <w:tc>
          <w:tcPr>
            <w:tcW w:w="1276" w:type="dxa"/>
            <w:shd w:val="clear" w:color="auto" w:fill="auto"/>
          </w:tcPr>
          <w:p>
            <w:r>
              <w:rPr>
                <w:rFonts w:hint="eastAsia"/>
              </w:rPr>
              <w:t>≤450元/m3</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60" w:name="_Toc_4_4_0000000063"/>
      <w:r>
        <w:rPr>
          <w:rFonts w:ascii="方正仿宋_GBK" w:hAnsi="方正仿宋_GBK" w:eastAsia="方正仿宋_GBK" w:cs="方正仿宋_GBK"/>
          <w:color w:val="000000"/>
          <w:sz w:val="28"/>
        </w:rPr>
        <w:t>60.2022年迎宾北路街道欧逸和燕灵社区老旧小区建筑主体改造工程绩效目标表</w:t>
      </w:r>
      <w:bookmarkEnd w:id="6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5个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4mmSBS改性沥青防水卷材单位材料成本</w:t>
            </w:r>
          </w:p>
        </w:tc>
        <w:tc>
          <w:tcPr>
            <w:tcW w:w="1276" w:type="dxa"/>
            <w:shd w:val="clear" w:color="auto" w:fill="auto"/>
          </w:tcPr>
          <w:p>
            <w:r>
              <w:rPr>
                <w:rFonts w:hint="eastAsia"/>
              </w:rPr>
              <w:t>≤26元/㎡</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61" w:name="_Toc_4_4_0000000064"/>
      <w:r>
        <w:rPr>
          <w:rFonts w:ascii="方正仿宋_GBK" w:hAnsi="方正仿宋_GBK" w:eastAsia="方正仿宋_GBK" w:cs="方正仿宋_GBK"/>
          <w:color w:val="000000"/>
          <w:sz w:val="28"/>
        </w:rPr>
        <w:t>61.2022年迎宾北路街道欧逸和燕灵社区老旧小区配套基础设施改造工程绩效目标表</w:t>
      </w:r>
      <w:bookmarkEnd w:id="61"/>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5个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C25混凝土单位材料成本</w:t>
            </w:r>
          </w:p>
        </w:tc>
        <w:tc>
          <w:tcPr>
            <w:tcW w:w="1276" w:type="dxa"/>
            <w:shd w:val="clear" w:color="auto" w:fill="auto"/>
          </w:tcPr>
          <w:p>
            <w:r>
              <w:rPr>
                <w:rFonts w:hint="eastAsia"/>
              </w:rPr>
              <w:t>≤450元/m3</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62" w:name="_Toc_4_4_0000000065"/>
      <w:r>
        <w:rPr>
          <w:rFonts w:ascii="方正仿宋_GBK" w:hAnsi="方正仿宋_GBK" w:eastAsia="方正仿宋_GBK" w:cs="方正仿宋_GBK"/>
          <w:color w:val="000000"/>
          <w:sz w:val="28"/>
        </w:rPr>
        <w:t>62.2022年迎宾北路街道中燕小区老旧小区建筑主体改造工程绩效目标表</w:t>
      </w:r>
      <w:bookmarkEnd w:id="62"/>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1个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4mmSBS改性沥青防水卷材单位材料成本</w:t>
            </w:r>
          </w:p>
        </w:tc>
        <w:tc>
          <w:tcPr>
            <w:tcW w:w="1276" w:type="dxa"/>
            <w:shd w:val="clear" w:color="auto" w:fill="auto"/>
          </w:tcPr>
          <w:p>
            <w:r>
              <w:rPr>
                <w:rFonts w:hint="eastAsia"/>
              </w:rPr>
              <w:t>≤26元/㎡</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63" w:name="_Toc_4_4_0000000066"/>
      <w:r>
        <w:rPr>
          <w:rFonts w:ascii="方正仿宋_GBK" w:hAnsi="方正仿宋_GBK" w:eastAsia="方正仿宋_GBK" w:cs="方正仿宋_GBK"/>
          <w:color w:val="000000"/>
          <w:sz w:val="28"/>
        </w:rPr>
        <w:t>63.2022年迎宾北路街道中燕小区老旧小区配套基础设施改造工程绩效目标表</w:t>
      </w:r>
      <w:bookmarkEnd w:id="63"/>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1个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C25混凝土单位材料成本</w:t>
            </w:r>
          </w:p>
        </w:tc>
        <w:tc>
          <w:tcPr>
            <w:tcW w:w="1276" w:type="dxa"/>
            <w:shd w:val="clear" w:color="auto" w:fill="auto"/>
          </w:tcPr>
          <w:p>
            <w:r>
              <w:rPr>
                <w:rFonts w:hint="eastAsia"/>
              </w:rPr>
              <w:t>≤450元/m3</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64" w:name="_Toc_4_4_0000000067"/>
      <w:r>
        <w:rPr>
          <w:rFonts w:ascii="方正仿宋_GBK" w:hAnsi="方正仿宋_GBK" w:eastAsia="方正仿宋_GBK" w:cs="方正仿宋_GBK"/>
          <w:color w:val="000000"/>
          <w:sz w:val="28"/>
        </w:rPr>
        <w:t>64.2022年迎宾北路街道中直单位老旧小区建筑主体改造工程绩效目标表</w:t>
      </w:r>
      <w:bookmarkEnd w:id="64"/>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7个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4mmSBS改性沥青防水卷材单位材料成本</w:t>
            </w:r>
          </w:p>
        </w:tc>
        <w:tc>
          <w:tcPr>
            <w:tcW w:w="1276" w:type="dxa"/>
            <w:shd w:val="clear" w:color="auto" w:fill="auto"/>
          </w:tcPr>
          <w:p>
            <w:r>
              <w:rPr>
                <w:rFonts w:hint="eastAsia"/>
              </w:rPr>
              <w:t>≤26元/㎡</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65" w:name="_Toc_4_4_0000000068"/>
      <w:r>
        <w:rPr>
          <w:rFonts w:ascii="方正仿宋_GBK" w:hAnsi="方正仿宋_GBK" w:eastAsia="方正仿宋_GBK" w:cs="方正仿宋_GBK"/>
          <w:color w:val="000000"/>
          <w:sz w:val="28"/>
        </w:rPr>
        <w:t>65.2022年迎宾北路街道中直单位老旧小区配套基础设施改造工程绩效目标表</w:t>
      </w:r>
      <w:bookmarkEnd w:id="65"/>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7个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C25混凝土单位材料成本</w:t>
            </w:r>
          </w:p>
        </w:tc>
        <w:tc>
          <w:tcPr>
            <w:tcW w:w="1276" w:type="dxa"/>
            <w:shd w:val="clear" w:color="auto" w:fill="auto"/>
          </w:tcPr>
          <w:p>
            <w:r>
              <w:rPr>
                <w:rFonts w:hint="eastAsia"/>
              </w:rPr>
              <w:t>≤450元/m3</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66" w:name="_Toc_4_4_0000000069"/>
      <w:r>
        <w:rPr>
          <w:rFonts w:ascii="方正仿宋_GBK" w:hAnsi="方正仿宋_GBK" w:eastAsia="方正仿宋_GBK" w:cs="方正仿宋_GBK"/>
          <w:color w:val="000000"/>
          <w:sz w:val="28"/>
        </w:rPr>
        <w:t>66.泃河景观城建新村段建设工程绩效目标表</w:t>
      </w:r>
      <w:bookmarkEnd w:id="66"/>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通过项目的开展，增加河岸景观品味。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占地面积</w:t>
            </w:r>
          </w:p>
        </w:tc>
        <w:tc>
          <w:tcPr>
            <w:tcW w:w="3544" w:type="dxa"/>
            <w:shd w:val="clear" w:color="auto" w:fill="auto"/>
          </w:tcPr>
          <w:p>
            <w:r>
              <w:rPr>
                <w:rFonts w:hint="eastAsia"/>
              </w:rPr>
              <w:t>工程占地面积</w:t>
            </w:r>
          </w:p>
        </w:tc>
        <w:tc>
          <w:tcPr>
            <w:tcW w:w="1276" w:type="dxa"/>
            <w:shd w:val="clear" w:color="auto" w:fill="auto"/>
          </w:tcPr>
          <w:p>
            <w:r>
              <w:rPr>
                <w:rFonts w:hint="eastAsia"/>
              </w:rPr>
              <w:t>58000平方米</w:t>
            </w:r>
          </w:p>
        </w:tc>
        <w:tc>
          <w:tcPr>
            <w:tcW w:w="4512" w:type="dxa"/>
            <w:shd w:val="clear" w:color="auto" w:fill="auto"/>
          </w:tcPr>
          <w:p>
            <w:r>
              <w:rPr>
                <w:rFonts w:hint="eastAsia"/>
              </w:rPr>
              <w:t>测绘数据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质量达标率（%）</w:t>
            </w:r>
          </w:p>
        </w:tc>
        <w:tc>
          <w:tcPr>
            <w:tcW w:w="3544" w:type="dxa"/>
            <w:shd w:val="clear" w:color="auto" w:fill="auto"/>
          </w:tcPr>
          <w:p>
            <w:r>
              <w:rPr>
                <w:rFonts w:hint="eastAsia"/>
              </w:rPr>
              <w:t>通过验收工程质量达标率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及时完成率（%）</w:t>
            </w:r>
          </w:p>
        </w:tc>
        <w:tc>
          <w:tcPr>
            <w:tcW w:w="3544" w:type="dxa"/>
            <w:shd w:val="clear" w:color="auto" w:fill="auto"/>
          </w:tcPr>
          <w:p>
            <w:r>
              <w:rPr>
                <w:rFonts w:hint="eastAsia"/>
              </w:rPr>
              <w:t>工程及时完成率</w:t>
            </w:r>
          </w:p>
        </w:tc>
        <w:tc>
          <w:tcPr>
            <w:tcW w:w="1276" w:type="dxa"/>
            <w:shd w:val="clear" w:color="auto" w:fill="auto"/>
          </w:tcPr>
          <w:p>
            <w:r>
              <w:rPr>
                <w:rFonts w:hint="eastAsia"/>
              </w:rPr>
              <w:t>≥100%</w:t>
            </w:r>
          </w:p>
        </w:tc>
        <w:tc>
          <w:tcPr>
            <w:tcW w:w="4512" w:type="dxa"/>
            <w:shd w:val="clear" w:color="auto" w:fill="auto"/>
          </w:tcPr>
          <w:p>
            <w:r>
              <w:rPr>
                <w:rFonts w:hint="eastAsia"/>
              </w:rPr>
              <w:t>既定计划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连翘单价</w:t>
            </w:r>
          </w:p>
        </w:tc>
        <w:tc>
          <w:tcPr>
            <w:tcW w:w="3544" w:type="dxa"/>
            <w:shd w:val="clear" w:color="auto" w:fill="auto"/>
          </w:tcPr>
          <w:p>
            <w:r>
              <w:rPr>
                <w:rFonts w:hint="eastAsia"/>
              </w:rPr>
              <w:t>栽植连翘每株单价</w:t>
            </w:r>
          </w:p>
        </w:tc>
        <w:tc>
          <w:tcPr>
            <w:tcW w:w="1276" w:type="dxa"/>
            <w:shd w:val="clear" w:color="auto" w:fill="auto"/>
          </w:tcPr>
          <w:p>
            <w:r>
              <w:rPr>
                <w:rFonts w:hint="eastAsia"/>
              </w:rPr>
              <w:t>≤207元</w:t>
            </w:r>
          </w:p>
        </w:tc>
        <w:tc>
          <w:tcPr>
            <w:tcW w:w="4512" w:type="dxa"/>
            <w:shd w:val="clear" w:color="auto" w:fill="auto"/>
          </w:tcPr>
          <w:p>
            <w:r>
              <w:rPr>
                <w:rFonts w:hint="eastAsia"/>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城市环境</w:t>
            </w:r>
          </w:p>
        </w:tc>
        <w:tc>
          <w:tcPr>
            <w:tcW w:w="3544" w:type="dxa"/>
            <w:shd w:val="clear" w:color="auto" w:fill="auto"/>
          </w:tcPr>
          <w:p>
            <w:r>
              <w:rPr>
                <w:rFonts w:hint="eastAsia"/>
              </w:rPr>
              <w:t xml:space="preserve">改善城市环境       </w:t>
            </w:r>
          </w:p>
        </w:tc>
        <w:tc>
          <w:tcPr>
            <w:tcW w:w="1276" w:type="dxa"/>
            <w:shd w:val="clear" w:color="auto" w:fill="auto"/>
          </w:tcPr>
          <w:p>
            <w:r>
              <w:rPr>
                <w:rFonts w:hint="eastAsia"/>
              </w:rPr>
              <w:t>有所改善</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受益对象满意度</w:t>
            </w:r>
          </w:p>
        </w:tc>
        <w:tc>
          <w:tcPr>
            <w:tcW w:w="3544" w:type="dxa"/>
            <w:shd w:val="clear" w:color="auto" w:fill="auto"/>
          </w:tcPr>
          <w:p>
            <w:r>
              <w:rPr>
                <w:rFonts w:hint="eastAsia"/>
              </w:rPr>
              <w:t xml:space="preserve">反映受益对象满意率情况                </w:t>
            </w:r>
          </w:p>
        </w:tc>
        <w:tc>
          <w:tcPr>
            <w:tcW w:w="1276" w:type="dxa"/>
            <w:shd w:val="clear" w:color="auto" w:fill="auto"/>
          </w:tcPr>
          <w:p>
            <w:r>
              <w:rPr>
                <w:rFonts w:hint="eastAsia"/>
              </w:rPr>
              <w:t>≥90%</w:t>
            </w:r>
          </w:p>
        </w:tc>
        <w:tc>
          <w:tcPr>
            <w:tcW w:w="4512" w:type="dxa"/>
            <w:shd w:val="clear" w:color="auto" w:fill="auto"/>
          </w:tcPr>
          <w:p>
            <w:r>
              <w:rPr>
                <w:rFonts w:hint="eastAsia"/>
              </w:rPr>
              <w:t>满意度调查表</w:t>
            </w:r>
          </w:p>
        </w:tc>
      </w:tr>
    </w:tbl>
    <w:p>
      <w:pPr>
        <w:ind w:firstLine="560"/>
        <w:outlineLvl w:val="3"/>
      </w:pPr>
      <w:bookmarkStart w:id="67" w:name="_Toc_4_4_0000000070"/>
      <w:r>
        <w:rPr>
          <w:rFonts w:ascii="方正仿宋_GBK" w:hAnsi="方正仿宋_GBK" w:eastAsia="方正仿宋_GBK" w:cs="方正仿宋_GBK"/>
          <w:color w:val="000000"/>
          <w:sz w:val="28"/>
        </w:rPr>
        <w:t>67.泃河景观四季阳光段建设工程绩效目标表</w:t>
      </w:r>
      <w:bookmarkEnd w:id="67"/>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通过项目的开展，增加河岸景观品味。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占地面积</w:t>
            </w:r>
          </w:p>
        </w:tc>
        <w:tc>
          <w:tcPr>
            <w:tcW w:w="3544" w:type="dxa"/>
            <w:shd w:val="clear" w:color="auto" w:fill="auto"/>
          </w:tcPr>
          <w:p>
            <w:r>
              <w:rPr>
                <w:rFonts w:hint="eastAsia"/>
              </w:rPr>
              <w:t>工程占地面积</w:t>
            </w:r>
          </w:p>
        </w:tc>
        <w:tc>
          <w:tcPr>
            <w:tcW w:w="1276" w:type="dxa"/>
            <w:shd w:val="clear" w:color="auto" w:fill="auto"/>
          </w:tcPr>
          <w:p>
            <w:r>
              <w:rPr>
                <w:rFonts w:hint="eastAsia"/>
              </w:rPr>
              <w:t>46000平方米</w:t>
            </w:r>
          </w:p>
        </w:tc>
        <w:tc>
          <w:tcPr>
            <w:tcW w:w="4512" w:type="dxa"/>
            <w:shd w:val="clear" w:color="auto" w:fill="auto"/>
          </w:tcPr>
          <w:p>
            <w:r>
              <w:rPr>
                <w:rFonts w:hint="eastAsia"/>
              </w:rPr>
              <w:t>测绘数据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质量达标率（%）</w:t>
            </w:r>
          </w:p>
        </w:tc>
        <w:tc>
          <w:tcPr>
            <w:tcW w:w="3544" w:type="dxa"/>
            <w:shd w:val="clear" w:color="auto" w:fill="auto"/>
          </w:tcPr>
          <w:p>
            <w:r>
              <w:rPr>
                <w:rFonts w:hint="eastAsia"/>
              </w:rPr>
              <w:t>通过验收工程质量达标率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及时完成率（%）</w:t>
            </w:r>
          </w:p>
        </w:tc>
        <w:tc>
          <w:tcPr>
            <w:tcW w:w="3544" w:type="dxa"/>
            <w:shd w:val="clear" w:color="auto" w:fill="auto"/>
          </w:tcPr>
          <w:p>
            <w:r>
              <w:rPr>
                <w:rFonts w:hint="eastAsia"/>
              </w:rPr>
              <w:t>工程及时完成率</w:t>
            </w:r>
          </w:p>
        </w:tc>
        <w:tc>
          <w:tcPr>
            <w:tcW w:w="1276" w:type="dxa"/>
            <w:shd w:val="clear" w:color="auto" w:fill="auto"/>
          </w:tcPr>
          <w:p>
            <w:r>
              <w:rPr>
                <w:rFonts w:hint="eastAsia"/>
              </w:rPr>
              <w:t>≥100%</w:t>
            </w:r>
          </w:p>
        </w:tc>
        <w:tc>
          <w:tcPr>
            <w:tcW w:w="4512" w:type="dxa"/>
            <w:shd w:val="clear" w:color="auto" w:fill="auto"/>
          </w:tcPr>
          <w:p>
            <w:r>
              <w:rPr>
                <w:rFonts w:hint="eastAsia"/>
              </w:rPr>
              <w:t>既定计划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樱花单价</w:t>
            </w:r>
          </w:p>
        </w:tc>
        <w:tc>
          <w:tcPr>
            <w:tcW w:w="3544" w:type="dxa"/>
            <w:shd w:val="clear" w:color="auto" w:fill="auto"/>
          </w:tcPr>
          <w:p>
            <w:r>
              <w:rPr>
                <w:rFonts w:hint="eastAsia"/>
              </w:rPr>
              <w:t>栽植樱花每株单价</w:t>
            </w:r>
          </w:p>
        </w:tc>
        <w:tc>
          <w:tcPr>
            <w:tcW w:w="1276" w:type="dxa"/>
            <w:shd w:val="clear" w:color="auto" w:fill="auto"/>
          </w:tcPr>
          <w:p>
            <w:r>
              <w:rPr>
                <w:rFonts w:hint="eastAsia"/>
              </w:rPr>
              <w:t>≤849元</w:t>
            </w:r>
          </w:p>
        </w:tc>
        <w:tc>
          <w:tcPr>
            <w:tcW w:w="4512" w:type="dxa"/>
            <w:shd w:val="clear" w:color="auto" w:fill="auto"/>
          </w:tcPr>
          <w:p>
            <w:r>
              <w:rPr>
                <w:rFonts w:hint="eastAsia"/>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城市环境</w:t>
            </w:r>
          </w:p>
        </w:tc>
        <w:tc>
          <w:tcPr>
            <w:tcW w:w="3544" w:type="dxa"/>
            <w:shd w:val="clear" w:color="auto" w:fill="auto"/>
          </w:tcPr>
          <w:p>
            <w:r>
              <w:rPr>
                <w:rFonts w:hint="eastAsia"/>
              </w:rPr>
              <w:t xml:space="preserve">改善城市环境   </w:t>
            </w:r>
          </w:p>
        </w:tc>
        <w:tc>
          <w:tcPr>
            <w:tcW w:w="1276" w:type="dxa"/>
            <w:shd w:val="clear" w:color="auto" w:fill="auto"/>
          </w:tcPr>
          <w:p>
            <w:r>
              <w:rPr>
                <w:rFonts w:hint="eastAsia"/>
              </w:rPr>
              <w:t>有所改善</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受益对象满意度</w:t>
            </w:r>
          </w:p>
        </w:tc>
        <w:tc>
          <w:tcPr>
            <w:tcW w:w="3544" w:type="dxa"/>
            <w:shd w:val="clear" w:color="auto" w:fill="auto"/>
          </w:tcPr>
          <w:p>
            <w:r>
              <w:rPr>
                <w:rFonts w:hint="eastAsia"/>
              </w:rPr>
              <w:t>反映受益对象满意率情况</w:t>
            </w:r>
          </w:p>
        </w:tc>
        <w:tc>
          <w:tcPr>
            <w:tcW w:w="1276" w:type="dxa"/>
            <w:shd w:val="clear" w:color="auto" w:fill="auto"/>
          </w:tcPr>
          <w:p>
            <w:r>
              <w:rPr>
                <w:rFonts w:hint="eastAsia"/>
              </w:rPr>
              <w:t>≥90%</w:t>
            </w:r>
          </w:p>
        </w:tc>
        <w:tc>
          <w:tcPr>
            <w:tcW w:w="4512" w:type="dxa"/>
            <w:shd w:val="clear" w:color="auto" w:fill="auto"/>
          </w:tcPr>
          <w:p>
            <w:r>
              <w:rPr>
                <w:rFonts w:hint="eastAsia"/>
              </w:rPr>
              <w:t>满意度调查表</w:t>
            </w:r>
          </w:p>
        </w:tc>
      </w:tr>
    </w:tbl>
    <w:p>
      <w:pPr>
        <w:ind w:firstLine="560"/>
        <w:outlineLvl w:val="3"/>
      </w:pPr>
      <w:bookmarkStart w:id="68" w:name="_Toc_4_4_0000000071"/>
      <w:r>
        <w:rPr>
          <w:rFonts w:ascii="方正仿宋_GBK" w:hAnsi="方正仿宋_GBK" w:eastAsia="方正仿宋_GBK" w:cs="方正仿宋_GBK"/>
          <w:color w:val="000000"/>
          <w:sz w:val="28"/>
        </w:rPr>
        <w:t>68.泃河绿地工程（一期）绩效目标表</w:t>
      </w:r>
      <w:bookmarkEnd w:id="68"/>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通过项目的开展，提升我市园林绿化的总体水平，改善城市生态环境。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占地面积</w:t>
            </w:r>
          </w:p>
        </w:tc>
        <w:tc>
          <w:tcPr>
            <w:tcW w:w="3544" w:type="dxa"/>
            <w:shd w:val="clear" w:color="auto" w:fill="auto"/>
          </w:tcPr>
          <w:p>
            <w:r>
              <w:rPr>
                <w:rFonts w:hint="eastAsia"/>
              </w:rPr>
              <w:t>工程占地面积</w:t>
            </w:r>
          </w:p>
        </w:tc>
        <w:tc>
          <w:tcPr>
            <w:tcW w:w="1276" w:type="dxa"/>
            <w:shd w:val="clear" w:color="auto" w:fill="auto"/>
          </w:tcPr>
          <w:p>
            <w:r>
              <w:rPr>
                <w:rFonts w:hint="eastAsia"/>
              </w:rPr>
              <w:t>850亩</w:t>
            </w:r>
          </w:p>
        </w:tc>
        <w:tc>
          <w:tcPr>
            <w:tcW w:w="4512" w:type="dxa"/>
            <w:shd w:val="clear" w:color="auto" w:fill="auto"/>
          </w:tcPr>
          <w:p>
            <w:r>
              <w:rPr>
                <w:rFonts w:hint="eastAsia"/>
              </w:rPr>
              <w:t>测绘数据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质量达标率（%）</w:t>
            </w:r>
          </w:p>
        </w:tc>
        <w:tc>
          <w:tcPr>
            <w:tcW w:w="3544" w:type="dxa"/>
            <w:shd w:val="clear" w:color="auto" w:fill="auto"/>
          </w:tcPr>
          <w:p>
            <w:r>
              <w:rPr>
                <w:rFonts w:hint="eastAsia"/>
              </w:rPr>
              <w:t>通过验收工程质量达标率</w:t>
            </w:r>
          </w:p>
        </w:tc>
        <w:tc>
          <w:tcPr>
            <w:tcW w:w="1276" w:type="dxa"/>
            <w:shd w:val="clear" w:color="auto" w:fill="auto"/>
          </w:tcPr>
          <w:p>
            <w:r>
              <w:rPr>
                <w:rFonts w:hint="eastAsia"/>
              </w:rPr>
              <w:t>≥100%</w:t>
            </w:r>
          </w:p>
        </w:tc>
        <w:tc>
          <w:tcPr>
            <w:tcW w:w="4512" w:type="dxa"/>
            <w:shd w:val="clear" w:color="auto" w:fill="auto"/>
          </w:tcPr>
          <w:p>
            <w:r>
              <w:rPr>
                <w:rFonts w:hint="eastAsia"/>
              </w:rPr>
              <w:t xml:space="preserve">施工合同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及时完成率（%）</w:t>
            </w:r>
          </w:p>
        </w:tc>
        <w:tc>
          <w:tcPr>
            <w:tcW w:w="3544" w:type="dxa"/>
            <w:shd w:val="clear" w:color="auto" w:fill="auto"/>
          </w:tcPr>
          <w:p>
            <w:r>
              <w:rPr>
                <w:rFonts w:hint="eastAsia"/>
              </w:rPr>
              <w:t>工程及时完成率</w:t>
            </w:r>
          </w:p>
        </w:tc>
        <w:tc>
          <w:tcPr>
            <w:tcW w:w="1276" w:type="dxa"/>
            <w:shd w:val="clear" w:color="auto" w:fill="auto"/>
          </w:tcPr>
          <w:p>
            <w:r>
              <w:rPr>
                <w:rFonts w:hint="eastAsia"/>
              </w:rPr>
              <w:t>≥100%</w:t>
            </w:r>
          </w:p>
        </w:tc>
        <w:tc>
          <w:tcPr>
            <w:tcW w:w="4512" w:type="dxa"/>
            <w:shd w:val="clear" w:color="auto" w:fill="auto"/>
          </w:tcPr>
          <w:p>
            <w:r>
              <w:rPr>
                <w:rFonts w:hint="eastAsia"/>
              </w:rPr>
              <w:t xml:space="preserve">施工合同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碧桃综合单价</w:t>
            </w:r>
          </w:p>
        </w:tc>
        <w:tc>
          <w:tcPr>
            <w:tcW w:w="3544" w:type="dxa"/>
            <w:shd w:val="clear" w:color="auto" w:fill="auto"/>
          </w:tcPr>
          <w:p>
            <w:r>
              <w:rPr>
                <w:rFonts w:hint="eastAsia"/>
              </w:rPr>
              <w:t>栽植碧桃每株单价</w:t>
            </w:r>
          </w:p>
        </w:tc>
        <w:tc>
          <w:tcPr>
            <w:tcW w:w="1276" w:type="dxa"/>
            <w:shd w:val="clear" w:color="auto" w:fill="auto"/>
          </w:tcPr>
          <w:p>
            <w:r>
              <w:rPr>
                <w:rFonts w:hint="eastAsia"/>
              </w:rPr>
              <w:t>≤403.99元/株</w:t>
            </w:r>
          </w:p>
        </w:tc>
        <w:tc>
          <w:tcPr>
            <w:tcW w:w="4512" w:type="dxa"/>
            <w:shd w:val="clear" w:color="auto" w:fill="auto"/>
          </w:tcPr>
          <w:p>
            <w:r>
              <w:rPr>
                <w:rFonts w:hint="eastAsia"/>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城市环境</w:t>
            </w:r>
          </w:p>
        </w:tc>
        <w:tc>
          <w:tcPr>
            <w:tcW w:w="3544" w:type="dxa"/>
            <w:shd w:val="clear" w:color="auto" w:fill="auto"/>
          </w:tcPr>
          <w:p>
            <w:r>
              <w:rPr>
                <w:rFonts w:hint="eastAsia"/>
              </w:rPr>
              <w:t>改善城市环境</w:t>
            </w:r>
          </w:p>
        </w:tc>
        <w:tc>
          <w:tcPr>
            <w:tcW w:w="1276" w:type="dxa"/>
            <w:shd w:val="clear" w:color="auto" w:fill="auto"/>
          </w:tcPr>
          <w:p>
            <w:r>
              <w:rPr>
                <w:rFonts w:hint="eastAsia"/>
              </w:rPr>
              <w:t>有所改善</w:t>
            </w:r>
          </w:p>
        </w:tc>
        <w:tc>
          <w:tcPr>
            <w:tcW w:w="4512" w:type="dxa"/>
            <w:shd w:val="clear" w:color="auto" w:fill="auto"/>
          </w:tcPr>
          <w:p>
            <w:r>
              <w:rPr>
                <w:rFonts w:hint="eastAsia"/>
              </w:rPr>
              <w:t xml:space="preserve">施工合同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受益对象满意度</w:t>
            </w:r>
          </w:p>
        </w:tc>
        <w:tc>
          <w:tcPr>
            <w:tcW w:w="3544" w:type="dxa"/>
            <w:shd w:val="clear" w:color="auto" w:fill="auto"/>
          </w:tcPr>
          <w:p>
            <w:r>
              <w:rPr>
                <w:rFonts w:hint="eastAsia"/>
              </w:rPr>
              <w:t xml:space="preserve">反映受益对象满意率情况    </w:t>
            </w:r>
          </w:p>
        </w:tc>
        <w:tc>
          <w:tcPr>
            <w:tcW w:w="1276" w:type="dxa"/>
            <w:shd w:val="clear" w:color="auto" w:fill="auto"/>
          </w:tcPr>
          <w:p>
            <w:r>
              <w:rPr>
                <w:rFonts w:hint="eastAsia"/>
              </w:rPr>
              <w:t>≥90%</w:t>
            </w:r>
          </w:p>
        </w:tc>
        <w:tc>
          <w:tcPr>
            <w:tcW w:w="4512" w:type="dxa"/>
            <w:shd w:val="clear" w:color="auto" w:fill="auto"/>
          </w:tcPr>
          <w:p>
            <w:r>
              <w:rPr>
                <w:rFonts w:hint="eastAsia"/>
              </w:rPr>
              <w:t>满意度调查表</w:t>
            </w:r>
          </w:p>
        </w:tc>
      </w:tr>
    </w:tbl>
    <w:p>
      <w:pPr>
        <w:ind w:firstLine="560"/>
        <w:outlineLvl w:val="3"/>
      </w:pPr>
      <w:bookmarkStart w:id="69" w:name="_Toc_4_4_0000000072"/>
      <w:r>
        <w:rPr>
          <w:rFonts w:ascii="方正仿宋_GBK" w:hAnsi="方正仿宋_GBK" w:eastAsia="方正仿宋_GBK" w:cs="方正仿宋_GBK"/>
          <w:color w:val="000000"/>
          <w:sz w:val="28"/>
        </w:rPr>
        <w:t>69.泃河湾小区环境综合改造工程绩效目标表</w:t>
      </w:r>
      <w:bookmarkEnd w:id="69"/>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铺设混凝土路面长度</w:t>
            </w:r>
          </w:p>
        </w:tc>
        <w:tc>
          <w:tcPr>
            <w:tcW w:w="1276" w:type="dxa"/>
            <w:shd w:val="clear" w:color="auto" w:fill="auto"/>
          </w:tcPr>
          <w:p>
            <w:r>
              <w:rPr>
                <w:rFonts w:hint="eastAsia"/>
              </w:rPr>
              <w:t>≥10000平方米</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主要材料价格</w:t>
            </w:r>
          </w:p>
        </w:tc>
        <w:tc>
          <w:tcPr>
            <w:tcW w:w="3544" w:type="dxa"/>
            <w:shd w:val="clear" w:color="auto" w:fill="auto"/>
          </w:tcPr>
          <w:p>
            <w:r>
              <w:rPr>
                <w:rFonts w:hint="eastAsia"/>
              </w:rPr>
              <w:t>透水砖路面/平米</w:t>
            </w:r>
          </w:p>
        </w:tc>
        <w:tc>
          <w:tcPr>
            <w:tcW w:w="1276" w:type="dxa"/>
            <w:shd w:val="clear" w:color="auto" w:fill="auto"/>
          </w:tcPr>
          <w:p>
            <w:r>
              <w:rPr>
                <w:rFonts w:hint="eastAsia"/>
              </w:rPr>
              <w:t>≤230.31元/平米</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70" w:name="_Toc_4_4_0000000073"/>
      <w:r>
        <w:rPr>
          <w:rFonts w:ascii="方正仿宋_GBK" w:hAnsi="方正仿宋_GBK" w:eastAsia="方正仿宋_GBK" w:cs="方正仿宋_GBK"/>
          <w:color w:val="000000"/>
          <w:sz w:val="28"/>
        </w:rPr>
        <w:t>70.泃河湾小区住宅楼外墙改造工程绩效目标表</w:t>
      </w:r>
      <w:bookmarkEnd w:id="7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实际完成小区改造住宅楼外墙数量</w:t>
            </w:r>
          </w:p>
        </w:tc>
        <w:tc>
          <w:tcPr>
            <w:tcW w:w="1276" w:type="dxa"/>
            <w:shd w:val="clear" w:color="auto" w:fill="auto"/>
          </w:tcPr>
          <w:p>
            <w:r>
              <w:rPr>
                <w:rFonts w:hint="eastAsia"/>
              </w:rPr>
              <w:t>15栋</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主要材料价格</w:t>
            </w:r>
          </w:p>
        </w:tc>
        <w:tc>
          <w:tcPr>
            <w:tcW w:w="3544" w:type="dxa"/>
            <w:shd w:val="clear" w:color="auto" w:fill="auto"/>
          </w:tcPr>
          <w:p>
            <w:r>
              <w:rPr>
                <w:rFonts w:hint="eastAsia"/>
              </w:rPr>
              <w:t>保温隔热墙面/平米</w:t>
            </w:r>
          </w:p>
        </w:tc>
        <w:tc>
          <w:tcPr>
            <w:tcW w:w="1276" w:type="dxa"/>
            <w:shd w:val="clear" w:color="auto" w:fill="auto"/>
          </w:tcPr>
          <w:p>
            <w:r>
              <w:rPr>
                <w:rFonts w:hint="eastAsia"/>
              </w:rPr>
              <w:t>≤329.89元/平米</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71" w:name="_Toc_4_4_0000000074"/>
      <w:r>
        <w:rPr>
          <w:rFonts w:ascii="方正仿宋_GBK" w:hAnsi="方正仿宋_GBK" w:eastAsia="方正仿宋_GBK" w:cs="方正仿宋_GBK"/>
          <w:color w:val="000000"/>
          <w:sz w:val="28"/>
        </w:rPr>
        <w:t>71.泃河右路改造工程绩效目标表</w:t>
      </w:r>
      <w:bookmarkEnd w:id="71"/>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通过项目的开展，根据市民反映强烈的此类增加健身场所及道路的问题，打造新时代的健康理念，建成为市民服务的健康步道。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铺设彩色路面</w:t>
            </w:r>
          </w:p>
        </w:tc>
        <w:tc>
          <w:tcPr>
            <w:tcW w:w="3544" w:type="dxa"/>
            <w:shd w:val="clear" w:color="auto" w:fill="auto"/>
          </w:tcPr>
          <w:p>
            <w:r>
              <w:rPr>
                <w:rFonts w:hint="eastAsia"/>
              </w:rPr>
              <w:t>铺设彩色路面长度</w:t>
            </w:r>
          </w:p>
        </w:tc>
        <w:tc>
          <w:tcPr>
            <w:tcW w:w="1276" w:type="dxa"/>
            <w:shd w:val="clear" w:color="auto" w:fill="auto"/>
          </w:tcPr>
          <w:p>
            <w:r>
              <w:rPr>
                <w:rFonts w:hint="eastAsia"/>
              </w:rPr>
              <w:t>1.7公里</w:t>
            </w:r>
          </w:p>
        </w:tc>
        <w:tc>
          <w:tcPr>
            <w:tcW w:w="4512" w:type="dxa"/>
            <w:shd w:val="clear" w:color="auto" w:fill="auto"/>
          </w:tcPr>
          <w:p>
            <w:r>
              <w:rPr>
                <w:rFonts w:hint="eastAsia"/>
              </w:rPr>
              <w:t xml:space="preserve">施工合同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质量达标率（%）</w:t>
            </w:r>
          </w:p>
        </w:tc>
        <w:tc>
          <w:tcPr>
            <w:tcW w:w="3544" w:type="dxa"/>
            <w:shd w:val="clear" w:color="auto" w:fill="auto"/>
          </w:tcPr>
          <w:p>
            <w:r>
              <w:rPr>
                <w:rFonts w:hint="eastAsia"/>
              </w:rPr>
              <w:t>通过验收工程质量达标率</w:t>
            </w:r>
          </w:p>
        </w:tc>
        <w:tc>
          <w:tcPr>
            <w:tcW w:w="1276" w:type="dxa"/>
            <w:shd w:val="clear" w:color="auto" w:fill="auto"/>
          </w:tcPr>
          <w:p>
            <w:r>
              <w:rPr>
                <w:rFonts w:hint="eastAsia"/>
              </w:rPr>
              <w:t>100%</w:t>
            </w:r>
          </w:p>
        </w:tc>
        <w:tc>
          <w:tcPr>
            <w:tcW w:w="4512" w:type="dxa"/>
            <w:shd w:val="clear" w:color="auto" w:fill="auto"/>
          </w:tcPr>
          <w:p>
            <w:r>
              <w:rPr>
                <w:rFonts w:hint="eastAsia"/>
              </w:rPr>
              <w:t xml:space="preserve">施工合同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及时完成率（%）</w:t>
            </w:r>
          </w:p>
        </w:tc>
        <w:tc>
          <w:tcPr>
            <w:tcW w:w="3544" w:type="dxa"/>
            <w:shd w:val="clear" w:color="auto" w:fill="auto"/>
          </w:tcPr>
          <w:p>
            <w:r>
              <w:rPr>
                <w:rFonts w:hint="eastAsia"/>
              </w:rPr>
              <w:t>工程及时完成率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建设项目成本</w:t>
            </w:r>
          </w:p>
        </w:tc>
        <w:tc>
          <w:tcPr>
            <w:tcW w:w="3544" w:type="dxa"/>
            <w:shd w:val="clear" w:color="auto" w:fill="auto"/>
          </w:tcPr>
          <w:p>
            <w:r>
              <w:rPr>
                <w:rFonts w:hint="eastAsia"/>
              </w:rPr>
              <w:t>实际中标金额</w:t>
            </w:r>
          </w:p>
        </w:tc>
        <w:tc>
          <w:tcPr>
            <w:tcW w:w="1276" w:type="dxa"/>
            <w:shd w:val="clear" w:color="auto" w:fill="auto"/>
          </w:tcPr>
          <w:p>
            <w:r>
              <w:rPr>
                <w:rFonts w:hint="eastAsia"/>
              </w:rPr>
              <w:t>196.75万元</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城市环境</w:t>
            </w:r>
          </w:p>
        </w:tc>
        <w:tc>
          <w:tcPr>
            <w:tcW w:w="3544" w:type="dxa"/>
            <w:shd w:val="clear" w:color="auto" w:fill="auto"/>
          </w:tcPr>
          <w:p>
            <w:r>
              <w:rPr>
                <w:rFonts w:hint="eastAsia"/>
              </w:rPr>
              <w:t xml:space="preserve">改善城市环境    </w:t>
            </w:r>
          </w:p>
        </w:tc>
        <w:tc>
          <w:tcPr>
            <w:tcW w:w="1276" w:type="dxa"/>
            <w:shd w:val="clear" w:color="auto" w:fill="auto"/>
          </w:tcPr>
          <w:p>
            <w:r>
              <w:rPr>
                <w:rFonts w:hint="eastAsia"/>
              </w:rPr>
              <w:t>有所改善</w:t>
            </w:r>
          </w:p>
        </w:tc>
        <w:tc>
          <w:tcPr>
            <w:tcW w:w="4512" w:type="dxa"/>
            <w:shd w:val="clear" w:color="auto" w:fill="auto"/>
          </w:tcPr>
          <w:p>
            <w:r>
              <w:rPr>
                <w:rFonts w:hint="eastAsia"/>
              </w:rPr>
              <w:t xml:space="preserve">施工合同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受益对象满意度</w:t>
            </w:r>
          </w:p>
        </w:tc>
        <w:tc>
          <w:tcPr>
            <w:tcW w:w="3544" w:type="dxa"/>
            <w:shd w:val="clear" w:color="auto" w:fill="auto"/>
          </w:tcPr>
          <w:p>
            <w:r>
              <w:rPr>
                <w:rFonts w:hint="eastAsia"/>
              </w:rPr>
              <w:t xml:space="preserve">反映受益对象满意率情况    </w:t>
            </w:r>
          </w:p>
        </w:tc>
        <w:tc>
          <w:tcPr>
            <w:tcW w:w="1276" w:type="dxa"/>
            <w:shd w:val="clear" w:color="auto" w:fill="auto"/>
          </w:tcPr>
          <w:p>
            <w:r>
              <w:rPr>
                <w:rFonts w:hint="eastAsia"/>
              </w:rPr>
              <w:t>≥90%</w:t>
            </w:r>
          </w:p>
        </w:tc>
        <w:tc>
          <w:tcPr>
            <w:tcW w:w="4512" w:type="dxa"/>
            <w:shd w:val="clear" w:color="auto" w:fill="auto"/>
          </w:tcPr>
          <w:p>
            <w:r>
              <w:rPr>
                <w:rFonts w:hint="eastAsia"/>
              </w:rPr>
              <w:t>满意度调查表</w:t>
            </w:r>
          </w:p>
        </w:tc>
      </w:tr>
    </w:tbl>
    <w:p>
      <w:pPr>
        <w:ind w:firstLine="560"/>
        <w:outlineLvl w:val="3"/>
      </w:pPr>
      <w:bookmarkStart w:id="72" w:name="_Toc_4_4_0000000075"/>
      <w:r>
        <w:rPr>
          <w:rFonts w:ascii="方正仿宋_GBK" w:hAnsi="方正仿宋_GBK" w:eastAsia="方正仿宋_GBK" w:cs="方正仿宋_GBK"/>
          <w:color w:val="000000"/>
          <w:sz w:val="28"/>
        </w:rPr>
        <w:t>72.泃河右路塌陷工程（市政）绩效目标表</w:t>
      </w:r>
      <w:bookmarkEnd w:id="72"/>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通过对泃河右路他线路段的抢修，保障路面正常使用及市民出行安全。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主材实际使用量</w:t>
            </w:r>
          </w:p>
        </w:tc>
        <w:tc>
          <w:tcPr>
            <w:tcW w:w="3544" w:type="dxa"/>
            <w:shd w:val="clear" w:color="auto" w:fill="auto"/>
          </w:tcPr>
          <w:p>
            <w:r>
              <w:rPr>
                <w:rFonts w:hint="eastAsia"/>
              </w:rPr>
              <w:t>施工中主材中粒式沥青混凝土</w:t>
            </w:r>
          </w:p>
        </w:tc>
        <w:tc>
          <w:tcPr>
            <w:tcW w:w="1276" w:type="dxa"/>
            <w:shd w:val="clear" w:color="auto" w:fill="auto"/>
          </w:tcPr>
          <w:p>
            <w:r>
              <w:rPr>
                <w:rFonts w:hint="eastAsia"/>
              </w:rPr>
              <w:t>≤193立方米</w:t>
            </w:r>
          </w:p>
        </w:tc>
        <w:tc>
          <w:tcPr>
            <w:tcW w:w="4512" w:type="dxa"/>
            <w:shd w:val="clear" w:color="auto" w:fill="auto"/>
          </w:tcPr>
          <w:p>
            <w:r>
              <w:rPr>
                <w:rFonts w:hint="eastAsia"/>
              </w:rPr>
              <w:t>《关于泃河右路塌陷工程施工方案》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《关于泃河右路塌陷工程施工方案》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按期完成的工程量占总工程量的比率</w:t>
            </w:r>
          </w:p>
        </w:tc>
        <w:tc>
          <w:tcPr>
            <w:tcW w:w="1276" w:type="dxa"/>
            <w:shd w:val="clear" w:color="auto" w:fill="auto"/>
          </w:tcPr>
          <w:p>
            <w:r>
              <w:rPr>
                <w:rFonts w:hint="eastAsia"/>
              </w:rPr>
              <w:t>100%</w:t>
            </w:r>
          </w:p>
        </w:tc>
        <w:tc>
          <w:tcPr>
            <w:tcW w:w="4512" w:type="dxa"/>
            <w:shd w:val="clear" w:color="auto" w:fill="auto"/>
          </w:tcPr>
          <w:p>
            <w:r>
              <w:rPr>
                <w:rFonts w:hint="eastAsia"/>
              </w:rPr>
              <w:t>《关于泃河右路塌陷工程施工方案》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施工中主材价格</w:t>
            </w:r>
          </w:p>
        </w:tc>
        <w:tc>
          <w:tcPr>
            <w:tcW w:w="3544" w:type="dxa"/>
            <w:shd w:val="clear" w:color="auto" w:fill="auto"/>
          </w:tcPr>
          <w:p>
            <w:r>
              <w:rPr>
                <w:rFonts w:hint="eastAsia"/>
              </w:rPr>
              <w:t>施工中主材中粒式沥青混凝土价格</w:t>
            </w:r>
          </w:p>
        </w:tc>
        <w:tc>
          <w:tcPr>
            <w:tcW w:w="1276" w:type="dxa"/>
            <w:shd w:val="clear" w:color="auto" w:fill="auto"/>
          </w:tcPr>
          <w:p>
            <w:r>
              <w:rPr>
                <w:rFonts w:hint="eastAsia"/>
              </w:rPr>
              <w:t>≤1176元/立方米</w:t>
            </w:r>
          </w:p>
        </w:tc>
        <w:tc>
          <w:tcPr>
            <w:tcW w:w="4512" w:type="dxa"/>
            <w:shd w:val="clear" w:color="auto" w:fill="auto"/>
          </w:tcPr>
          <w:p>
            <w:r>
              <w:rPr>
                <w:rFonts w:hint="eastAsia"/>
              </w:rPr>
              <w:t>工程造价汇总表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通过维护改造，消除隐患的情况</w:t>
            </w:r>
          </w:p>
        </w:tc>
        <w:tc>
          <w:tcPr>
            <w:tcW w:w="1276" w:type="dxa"/>
            <w:shd w:val="clear" w:color="auto" w:fill="auto"/>
          </w:tcPr>
          <w:p>
            <w:r>
              <w:rPr>
                <w:rFonts w:hint="eastAsia"/>
              </w:rPr>
              <w:t>基本改善</w:t>
            </w:r>
          </w:p>
        </w:tc>
        <w:tc>
          <w:tcPr>
            <w:tcW w:w="4512" w:type="dxa"/>
            <w:shd w:val="clear" w:color="auto" w:fill="auto"/>
          </w:tcPr>
          <w:p>
            <w:r>
              <w:rPr>
                <w:rFonts w:hint="eastAsia"/>
              </w:rPr>
              <w:t>《关于泃河右路塌陷工程施工方案》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受益群众满意度调查</w:t>
            </w:r>
          </w:p>
        </w:tc>
        <w:tc>
          <w:tcPr>
            <w:tcW w:w="3544" w:type="dxa"/>
            <w:shd w:val="clear" w:color="auto" w:fill="auto"/>
          </w:tcPr>
          <w:p>
            <w:r>
              <w:rPr>
                <w:rFonts w:hint="eastAsia"/>
              </w:rPr>
              <w:t>受益群众调查中，满意和较满意的人数占总体的百分比</w:t>
            </w:r>
          </w:p>
        </w:tc>
        <w:tc>
          <w:tcPr>
            <w:tcW w:w="1276" w:type="dxa"/>
            <w:shd w:val="clear" w:color="auto" w:fill="auto"/>
          </w:tcPr>
          <w:p>
            <w:r>
              <w:rPr>
                <w:rFonts w:hint="eastAsia"/>
              </w:rPr>
              <w:t>≥90%</w:t>
            </w:r>
          </w:p>
        </w:tc>
        <w:tc>
          <w:tcPr>
            <w:tcW w:w="4512" w:type="dxa"/>
            <w:shd w:val="clear" w:color="auto" w:fill="auto"/>
          </w:tcPr>
          <w:p>
            <w:r>
              <w:rPr>
                <w:rFonts w:hint="eastAsia"/>
              </w:rPr>
              <w:t>满意度调查表</w:t>
            </w:r>
          </w:p>
        </w:tc>
      </w:tr>
    </w:tbl>
    <w:p>
      <w:pPr>
        <w:ind w:firstLine="560"/>
        <w:outlineLvl w:val="3"/>
      </w:pPr>
      <w:bookmarkStart w:id="73" w:name="_Toc_4_4_0000000076"/>
      <w:r>
        <w:rPr>
          <w:rFonts w:ascii="方正仿宋_GBK" w:hAnsi="方正仿宋_GBK" w:eastAsia="方正仿宋_GBK" w:cs="方正仿宋_GBK"/>
          <w:color w:val="000000"/>
          <w:sz w:val="28"/>
        </w:rPr>
        <w:t>73.泃阳东大街北侧排水改造工程绩效目标表</w:t>
      </w:r>
      <w:bookmarkEnd w:id="73"/>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通过项目的开展实现城市雨污分流，加强排污排水能力等，保护生态环境，保障城市经济发展，加快城市建设步伐。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铺设排水管道</w:t>
            </w:r>
          </w:p>
        </w:tc>
        <w:tc>
          <w:tcPr>
            <w:tcW w:w="1276" w:type="dxa"/>
            <w:shd w:val="clear" w:color="auto" w:fill="auto"/>
          </w:tcPr>
          <w:p>
            <w:r>
              <w:rPr>
                <w:rFonts w:hint="eastAsia"/>
              </w:rPr>
              <w:t>≤611延米</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主要材料单价</w:t>
            </w:r>
          </w:p>
        </w:tc>
        <w:tc>
          <w:tcPr>
            <w:tcW w:w="3544" w:type="dxa"/>
            <w:shd w:val="clear" w:color="auto" w:fill="auto"/>
          </w:tcPr>
          <w:p>
            <w:r>
              <w:rPr>
                <w:rFonts w:hint="eastAsia"/>
              </w:rPr>
              <w:t>钢筋砼排水管道</w:t>
            </w:r>
          </w:p>
        </w:tc>
        <w:tc>
          <w:tcPr>
            <w:tcW w:w="1276" w:type="dxa"/>
            <w:shd w:val="clear" w:color="auto" w:fill="auto"/>
          </w:tcPr>
          <w:p>
            <w:r>
              <w:rPr>
                <w:rFonts w:hint="eastAsia"/>
              </w:rPr>
              <w:t>≤428元</w:t>
            </w:r>
          </w:p>
        </w:tc>
        <w:tc>
          <w:tcPr>
            <w:tcW w:w="4512" w:type="dxa"/>
            <w:shd w:val="clear" w:color="auto" w:fill="auto"/>
          </w:tcPr>
          <w:p>
            <w:r>
              <w:rPr>
                <w:rFonts w:hint="eastAsia"/>
              </w:rPr>
              <w:t>预算评审结论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74" w:name="_Toc_4_4_0000000077"/>
      <w:r>
        <w:rPr>
          <w:rFonts w:ascii="方正仿宋_GBK" w:hAnsi="方正仿宋_GBK" w:eastAsia="方正仿宋_GBK" w:cs="方正仿宋_GBK"/>
          <w:color w:val="000000"/>
          <w:sz w:val="28"/>
        </w:rPr>
        <w:t>74.安居小区环境综合改造工程绩效目标表</w:t>
      </w:r>
      <w:bookmarkEnd w:id="74"/>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铺设混凝土路面长度</w:t>
            </w:r>
          </w:p>
        </w:tc>
        <w:tc>
          <w:tcPr>
            <w:tcW w:w="1276" w:type="dxa"/>
            <w:shd w:val="clear" w:color="auto" w:fill="auto"/>
          </w:tcPr>
          <w:p>
            <w:r>
              <w:rPr>
                <w:rFonts w:hint="eastAsia"/>
              </w:rPr>
              <w:t>≥10000平方米</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主要材料单价</w:t>
            </w:r>
          </w:p>
        </w:tc>
        <w:tc>
          <w:tcPr>
            <w:tcW w:w="3544" w:type="dxa"/>
            <w:shd w:val="clear" w:color="auto" w:fill="auto"/>
          </w:tcPr>
          <w:p>
            <w:r>
              <w:rPr>
                <w:rFonts w:hint="eastAsia"/>
              </w:rPr>
              <w:t>水泥混凝土路面/平米</w:t>
            </w:r>
          </w:p>
        </w:tc>
        <w:tc>
          <w:tcPr>
            <w:tcW w:w="1276" w:type="dxa"/>
            <w:shd w:val="clear" w:color="auto" w:fill="auto"/>
          </w:tcPr>
          <w:p>
            <w:r>
              <w:rPr>
                <w:rFonts w:hint="eastAsia"/>
              </w:rPr>
              <w:t>≤166.76元/平米</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75" w:name="_Toc_4_4_0000000078"/>
      <w:r>
        <w:rPr>
          <w:rFonts w:ascii="方正仿宋_GBK" w:hAnsi="方正仿宋_GBK" w:eastAsia="方正仿宋_GBK" w:cs="方正仿宋_GBK"/>
          <w:color w:val="000000"/>
          <w:sz w:val="28"/>
        </w:rPr>
        <w:t>75.安居小区住宅楼外墙改造工程绩效目标表</w:t>
      </w:r>
      <w:bookmarkEnd w:id="75"/>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实际完成小区改造住宅楼外墙数量</w:t>
            </w:r>
          </w:p>
        </w:tc>
        <w:tc>
          <w:tcPr>
            <w:tcW w:w="1276" w:type="dxa"/>
            <w:shd w:val="clear" w:color="auto" w:fill="auto"/>
          </w:tcPr>
          <w:p>
            <w:r>
              <w:rPr>
                <w:rFonts w:hint="eastAsia"/>
              </w:rPr>
              <w:t>26栋</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主要材料价格</w:t>
            </w:r>
          </w:p>
        </w:tc>
        <w:tc>
          <w:tcPr>
            <w:tcW w:w="3544" w:type="dxa"/>
            <w:shd w:val="clear" w:color="auto" w:fill="auto"/>
          </w:tcPr>
          <w:p>
            <w:r>
              <w:rPr>
                <w:rFonts w:hint="eastAsia"/>
              </w:rPr>
              <w:t>保温隔热墙面/平米</w:t>
            </w:r>
          </w:p>
        </w:tc>
        <w:tc>
          <w:tcPr>
            <w:tcW w:w="1276" w:type="dxa"/>
            <w:shd w:val="clear" w:color="auto" w:fill="auto"/>
          </w:tcPr>
          <w:p>
            <w:r>
              <w:rPr>
                <w:rFonts w:hint="eastAsia"/>
              </w:rPr>
              <w:t>≤285.24元/平方米</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76" w:name="_Toc_4_4_0000000079"/>
      <w:r>
        <w:rPr>
          <w:rFonts w:ascii="方正仿宋_GBK" w:hAnsi="方正仿宋_GBK" w:eastAsia="方正仿宋_GBK" w:cs="方正仿宋_GBK"/>
          <w:color w:val="000000"/>
          <w:sz w:val="28"/>
        </w:rPr>
        <w:t>76.北城二标段雨水管网改造工程绩效目标表</w:t>
      </w:r>
      <w:bookmarkEnd w:id="76"/>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实际完成在小区改造数量</w:t>
            </w:r>
          </w:p>
        </w:tc>
        <w:tc>
          <w:tcPr>
            <w:tcW w:w="1276" w:type="dxa"/>
            <w:shd w:val="clear" w:color="auto" w:fill="auto"/>
          </w:tcPr>
          <w:p>
            <w:r>
              <w:rPr>
                <w:rFonts w:hint="eastAsia"/>
              </w:rPr>
              <w:t>9个</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主要材料价格</w:t>
            </w:r>
          </w:p>
        </w:tc>
        <w:tc>
          <w:tcPr>
            <w:tcW w:w="3544" w:type="dxa"/>
            <w:shd w:val="clear" w:color="auto" w:fill="auto"/>
          </w:tcPr>
          <w:p>
            <w:r>
              <w:rPr>
                <w:rFonts w:hint="eastAsia"/>
              </w:rPr>
              <w:t>混凝土管/米</w:t>
            </w:r>
          </w:p>
        </w:tc>
        <w:tc>
          <w:tcPr>
            <w:tcW w:w="1276" w:type="dxa"/>
            <w:shd w:val="clear" w:color="auto" w:fill="auto"/>
          </w:tcPr>
          <w:p>
            <w:r>
              <w:rPr>
                <w:rFonts w:hint="eastAsia"/>
              </w:rPr>
              <w:t>≤222.37元/米</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77" w:name="_Toc_4_4_0000000080"/>
      <w:r>
        <w:rPr>
          <w:rFonts w:ascii="方正仿宋_GBK" w:hAnsi="方正仿宋_GBK" w:eastAsia="方正仿宋_GBK" w:cs="方正仿宋_GBK"/>
          <w:color w:val="000000"/>
          <w:sz w:val="28"/>
        </w:rPr>
        <w:t>77.北城污水处理厂设施改造工程绩效目标表</w:t>
      </w:r>
      <w:bookmarkEnd w:id="77"/>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通过项目的开展实现对城市污水进行综合治理，最大程度消减污染物排放量，缓解城市水环境污染，同时实现再生水资源的有效利用。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粗格栅套数</w:t>
            </w:r>
          </w:p>
        </w:tc>
        <w:tc>
          <w:tcPr>
            <w:tcW w:w="1276" w:type="dxa"/>
            <w:shd w:val="clear" w:color="auto" w:fill="auto"/>
          </w:tcPr>
          <w:p>
            <w:r>
              <w:rPr>
                <w:rFonts w:hint="eastAsia"/>
              </w:rPr>
              <w:t>1套</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每套粗格栅价格</w:t>
            </w:r>
          </w:p>
        </w:tc>
        <w:tc>
          <w:tcPr>
            <w:tcW w:w="3544" w:type="dxa"/>
            <w:shd w:val="clear" w:color="auto" w:fill="auto"/>
          </w:tcPr>
          <w:p>
            <w:r>
              <w:rPr>
                <w:rFonts w:hint="eastAsia"/>
              </w:rPr>
              <w:t>每套粗格栅价格</w:t>
            </w:r>
          </w:p>
        </w:tc>
        <w:tc>
          <w:tcPr>
            <w:tcW w:w="1276" w:type="dxa"/>
            <w:shd w:val="clear" w:color="auto" w:fill="auto"/>
          </w:tcPr>
          <w:p>
            <w:r>
              <w:rPr>
                <w:rFonts w:hint="eastAsia"/>
              </w:rPr>
              <w:t>8万元</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78" w:name="_Toc_4_4_0000000081"/>
      <w:r>
        <w:rPr>
          <w:rFonts w:ascii="方正仿宋_GBK" w:hAnsi="方正仿宋_GBK" w:eastAsia="方正仿宋_GBK" w:cs="方正仿宋_GBK"/>
          <w:color w:val="000000"/>
          <w:sz w:val="28"/>
        </w:rPr>
        <w:t>78.北城一标段雨水管网改造工程绩效目标表</w:t>
      </w:r>
      <w:bookmarkEnd w:id="78"/>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843"/>
        <w:gridCol w:w="39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9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实际完成在小区改造数量</w:t>
            </w:r>
          </w:p>
        </w:tc>
        <w:tc>
          <w:tcPr>
            <w:tcW w:w="1843" w:type="dxa"/>
            <w:shd w:val="clear" w:color="auto" w:fill="auto"/>
          </w:tcPr>
          <w:p>
            <w:r>
              <w:rPr>
                <w:rFonts w:hint="eastAsia"/>
              </w:rPr>
              <w:t>4个</w:t>
            </w:r>
          </w:p>
        </w:tc>
        <w:tc>
          <w:tcPr>
            <w:tcW w:w="3945"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843" w:type="dxa"/>
            <w:shd w:val="clear" w:color="auto" w:fill="auto"/>
          </w:tcPr>
          <w:p>
            <w:r>
              <w:rPr>
                <w:rFonts w:hint="eastAsia"/>
              </w:rPr>
              <w:t>100%</w:t>
            </w:r>
          </w:p>
        </w:tc>
        <w:tc>
          <w:tcPr>
            <w:tcW w:w="3945"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843" w:type="dxa"/>
            <w:shd w:val="clear" w:color="auto" w:fill="auto"/>
          </w:tcPr>
          <w:p>
            <w:r>
              <w:rPr>
                <w:rFonts w:hint="eastAsia"/>
              </w:rPr>
              <w:t>100%</w:t>
            </w:r>
          </w:p>
        </w:tc>
        <w:tc>
          <w:tcPr>
            <w:tcW w:w="3945"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主要材料价格</w:t>
            </w:r>
          </w:p>
        </w:tc>
        <w:tc>
          <w:tcPr>
            <w:tcW w:w="3544" w:type="dxa"/>
            <w:shd w:val="clear" w:color="auto" w:fill="auto"/>
          </w:tcPr>
          <w:p>
            <w:r>
              <w:rPr>
                <w:rFonts w:hint="eastAsia"/>
              </w:rPr>
              <w:t>混凝土管/米</w:t>
            </w:r>
          </w:p>
        </w:tc>
        <w:tc>
          <w:tcPr>
            <w:tcW w:w="1843" w:type="dxa"/>
            <w:shd w:val="clear" w:color="auto" w:fill="auto"/>
          </w:tcPr>
          <w:p>
            <w:r>
              <w:rPr>
                <w:rFonts w:hint="eastAsia"/>
              </w:rPr>
              <w:t>≤226.03元/米</w:t>
            </w:r>
          </w:p>
        </w:tc>
        <w:tc>
          <w:tcPr>
            <w:tcW w:w="3945"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843" w:type="dxa"/>
            <w:shd w:val="clear" w:color="auto" w:fill="auto"/>
          </w:tcPr>
          <w:p>
            <w:r>
              <w:rPr>
                <w:rFonts w:hint="eastAsia"/>
              </w:rPr>
              <w:t>有所改善</w:t>
            </w:r>
          </w:p>
        </w:tc>
        <w:tc>
          <w:tcPr>
            <w:tcW w:w="3945"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843" w:type="dxa"/>
            <w:shd w:val="clear" w:color="auto" w:fill="auto"/>
          </w:tcPr>
          <w:p>
            <w:r>
              <w:rPr>
                <w:rFonts w:hint="eastAsia"/>
              </w:rPr>
              <w:t>≥90%</w:t>
            </w:r>
          </w:p>
        </w:tc>
        <w:tc>
          <w:tcPr>
            <w:tcW w:w="3945" w:type="dxa"/>
            <w:shd w:val="clear" w:color="auto" w:fill="auto"/>
          </w:tcPr>
          <w:p>
            <w:r>
              <w:rPr>
                <w:rFonts w:hint="eastAsia"/>
              </w:rPr>
              <w:t>调查问卷</w:t>
            </w:r>
          </w:p>
        </w:tc>
      </w:tr>
    </w:tbl>
    <w:p>
      <w:pPr>
        <w:ind w:firstLine="560"/>
        <w:outlineLvl w:val="3"/>
      </w:pPr>
      <w:bookmarkStart w:id="79" w:name="_Toc_4_4_0000000082"/>
      <w:r>
        <w:rPr>
          <w:rFonts w:ascii="方正仿宋_GBK" w:hAnsi="方正仿宋_GBK" w:eastAsia="方正仿宋_GBK" w:cs="方正仿宋_GBK"/>
          <w:color w:val="000000"/>
          <w:sz w:val="28"/>
        </w:rPr>
        <w:t>79.采购处置城区污水处理仓储存污泥、废液第三方机构项目绩效目标表</w:t>
      </w:r>
      <w:bookmarkEnd w:id="79"/>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通过项目的开展实现城市污泥、废液处置，改善城市环境，保障城市经济发展，加快城市建设步伐。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污泥处置数量（个）</w:t>
            </w:r>
          </w:p>
        </w:tc>
        <w:tc>
          <w:tcPr>
            <w:tcW w:w="3544" w:type="dxa"/>
            <w:shd w:val="clear" w:color="auto" w:fill="auto"/>
          </w:tcPr>
          <w:p>
            <w:r>
              <w:rPr>
                <w:rFonts w:hint="eastAsia"/>
              </w:rPr>
              <w:t>储存污泥处置数量</w:t>
            </w:r>
          </w:p>
        </w:tc>
        <w:tc>
          <w:tcPr>
            <w:tcW w:w="1276" w:type="dxa"/>
            <w:shd w:val="clear" w:color="auto" w:fill="auto"/>
          </w:tcPr>
          <w:p>
            <w:r>
              <w:rPr>
                <w:rFonts w:hint="eastAsia"/>
              </w:rPr>
              <w:t>1869.54吨</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污泥处置合格率</w:t>
            </w:r>
          </w:p>
        </w:tc>
        <w:tc>
          <w:tcPr>
            <w:tcW w:w="3544" w:type="dxa"/>
            <w:shd w:val="clear" w:color="auto" w:fill="auto"/>
          </w:tcPr>
          <w:p>
            <w:r>
              <w:rPr>
                <w:rFonts w:hint="eastAsia"/>
              </w:rPr>
              <w:t>反映污泥处置工作合格率情况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污泥处置及时率</w:t>
            </w:r>
          </w:p>
        </w:tc>
        <w:tc>
          <w:tcPr>
            <w:tcW w:w="3544" w:type="dxa"/>
            <w:shd w:val="clear" w:color="auto" w:fill="auto"/>
          </w:tcPr>
          <w:p>
            <w:r>
              <w:rPr>
                <w:rFonts w:hint="eastAsia"/>
              </w:rPr>
              <w:t>反映污污泥处置及时率情况</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污泥处置成本</w:t>
            </w:r>
          </w:p>
        </w:tc>
        <w:tc>
          <w:tcPr>
            <w:tcW w:w="3544" w:type="dxa"/>
            <w:shd w:val="clear" w:color="auto" w:fill="auto"/>
          </w:tcPr>
          <w:p>
            <w:r>
              <w:rPr>
                <w:rFonts w:hint="eastAsia"/>
              </w:rPr>
              <w:t>污泥处置费</w:t>
            </w:r>
          </w:p>
        </w:tc>
        <w:tc>
          <w:tcPr>
            <w:tcW w:w="1276" w:type="dxa"/>
            <w:shd w:val="clear" w:color="auto" w:fill="auto"/>
          </w:tcPr>
          <w:p>
            <w:r>
              <w:rPr>
                <w:rFonts w:hint="eastAsia"/>
              </w:rPr>
              <w:t>357.5元/吨</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有所改善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80" w:name="_Toc_4_4_0000000083"/>
      <w:r>
        <w:rPr>
          <w:rFonts w:ascii="方正仿宋_GBK" w:hAnsi="方正仿宋_GBK" w:eastAsia="方正仿宋_GBK" w:cs="方正仿宋_GBK"/>
          <w:color w:val="000000"/>
          <w:sz w:val="28"/>
        </w:rPr>
        <w:t>80.长城公寓雨水管网改造工程绩效目标表</w:t>
      </w:r>
      <w:bookmarkEnd w:id="8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铺设排水管道延米数</w:t>
            </w:r>
          </w:p>
        </w:tc>
        <w:tc>
          <w:tcPr>
            <w:tcW w:w="1276" w:type="dxa"/>
            <w:shd w:val="clear" w:color="auto" w:fill="auto"/>
          </w:tcPr>
          <w:p>
            <w:r>
              <w:rPr>
                <w:rFonts w:hint="eastAsia"/>
              </w:rPr>
              <w:t>868延米</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主要材料价格</w:t>
            </w:r>
          </w:p>
        </w:tc>
        <w:tc>
          <w:tcPr>
            <w:tcW w:w="3544" w:type="dxa"/>
            <w:shd w:val="clear" w:color="auto" w:fill="auto"/>
          </w:tcPr>
          <w:p>
            <w:r>
              <w:rPr>
                <w:rFonts w:hint="eastAsia"/>
              </w:rPr>
              <w:t>混凝土管/米</w:t>
            </w:r>
          </w:p>
        </w:tc>
        <w:tc>
          <w:tcPr>
            <w:tcW w:w="1276" w:type="dxa"/>
            <w:shd w:val="clear" w:color="auto" w:fill="auto"/>
          </w:tcPr>
          <w:p>
            <w:r>
              <w:rPr>
                <w:rFonts w:hint="eastAsia"/>
              </w:rPr>
              <w:t>≤294.81元</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81" w:name="_Toc_4_4_0000000084"/>
      <w:r>
        <w:rPr>
          <w:rFonts w:ascii="方正仿宋_GBK" w:hAnsi="方正仿宋_GBK" w:eastAsia="方正仿宋_GBK" w:cs="方正仿宋_GBK"/>
          <w:color w:val="000000"/>
          <w:sz w:val="28"/>
        </w:rPr>
        <w:t>81.超低排放改造项目绩效目标表</w:t>
      </w:r>
      <w:bookmarkEnd w:id="81"/>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按时供热，确保供热质量，提高供热服务水平。用户室温达到供、热双方合同确定的室温标准或当地政府主管</w:t>
            </w:r>
            <w:r>
              <w:rPr>
                <w:rFonts w:hint="eastAsia"/>
                <w:lang w:eastAsia="zh-CN"/>
              </w:rPr>
              <w:t>单位</w:t>
            </w:r>
            <w:r>
              <w:t>规定的室温标准，用户室温合格率应在98%以上，用户报修应及时处理，处理及时报修率应达到100%。做到用户室温合格率在98%以上，报修处理率达到100%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安装设备数量（个）</w:t>
            </w:r>
          </w:p>
        </w:tc>
        <w:tc>
          <w:tcPr>
            <w:tcW w:w="3544" w:type="dxa"/>
            <w:shd w:val="clear" w:color="auto" w:fill="auto"/>
          </w:tcPr>
          <w:p>
            <w:r>
              <w:rPr>
                <w:rFonts w:hint="eastAsia"/>
              </w:rPr>
              <w:t>工程安装设备总个数</w:t>
            </w:r>
          </w:p>
        </w:tc>
        <w:tc>
          <w:tcPr>
            <w:tcW w:w="1276" w:type="dxa"/>
            <w:shd w:val="clear" w:color="auto" w:fill="auto"/>
          </w:tcPr>
          <w:p>
            <w:r>
              <w:rPr>
                <w:rFonts w:hint="eastAsia"/>
              </w:rPr>
              <w:t>≥100个100个</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工程量完成占总工程量比率（%）</w:t>
            </w:r>
          </w:p>
        </w:tc>
        <w:tc>
          <w:tcPr>
            <w:tcW w:w="3544" w:type="dxa"/>
            <w:shd w:val="clear" w:color="auto" w:fill="auto"/>
          </w:tcPr>
          <w:p>
            <w:r>
              <w:rPr>
                <w:rFonts w:hint="eastAsia"/>
              </w:rPr>
              <w:t>实际完成工程量占计划完成工程量的比率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工程按期完成占总工程比率（%）</w:t>
            </w:r>
          </w:p>
        </w:tc>
        <w:tc>
          <w:tcPr>
            <w:tcW w:w="3544" w:type="dxa"/>
            <w:shd w:val="clear" w:color="auto" w:fill="auto"/>
          </w:tcPr>
          <w:p>
            <w:r>
              <w:rPr>
                <w:rFonts w:hint="eastAsia"/>
              </w:rPr>
              <w:t>按期完成的工程量占总工程量的比率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维改安装设备单位成本（元/个）</w:t>
            </w:r>
          </w:p>
        </w:tc>
        <w:tc>
          <w:tcPr>
            <w:tcW w:w="3544" w:type="dxa"/>
            <w:shd w:val="clear" w:color="auto" w:fill="auto"/>
          </w:tcPr>
          <w:p>
            <w:r>
              <w:rPr>
                <w:rFonts w:hint="eastAsia"/>
              </w:rPr>
              <w:t>维修改造安装各种设备平均成本</w:t>
            </w:r>
          </w:p>
        </w:tc>
        <w:tc>
          <w:tcPr>
            <w:tcW w:w="1276" w:type="dxa"/>
            <w:shd w:val="clear" w:color="auto" w:fill="auto"/>
          </w:tcPr>
          <w:p>
            <w:r>
              <w:rPr>
                <w:rFonts w:hint="eastAsia"/>
              </w:rPr>
              <w:t>≤458000元/个</w:t>
            </w:r>
          </w:p>
        </w:tc>
        <w:tc>
          <w:tcPr>
            <w:tcW w:w="4512" w:type="dxa"/>
            <w:shd w:val="clear" w:color="auto" w:fill="auto"/>
          </w:tcPr>
          <w:p>
            <w:r>
              <w:rPr>
                <w:rFonts w:hint="eastAsia"/>
              </w:rPr>
              <w:t>三政办（2019）13号《三河市人民政府办公室关于做好2019年度政府投资重点工程项目建设工作的通知》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三政办（2019）13号《三河市人民政府办公室关于做好2019年度政府投资重点工程项目建设工作的通知》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受群众满意度（%）</w:t>
            </w:r>
          </w:p>
        </w:tc>
        <w:tc>
          <w:tcPr>
            <w:tcW w:w="3544" w:type="dxa"/>
            <w:shd w:val="clear" w:color="auto" w:fill="auto"/>
          </w:tcPr>
          <w:p>
            <w:r>
              <w:rPr>
                <w:rFonts w:hint="eastAsia"/>
              </w:rPr>
              <w:t>受益群体调查中，满意和较满意的人数占全部调查人数的比率</w:t>
            </w:r>
          </w:p>
        </w:tc>
        <w:tc>
          <w:tcPr>
            <w:tcW w:w="1276" w:type="dxa"/>
            <w:shd w:val="clear" w:color="auto" w:fill="auto"/>
          </w:tcPr>
          <w:p>
            <w:r>
              <w:rPr>
                <w:rFonts w:hint="eastAsia"/>
              </w:rPr>
              <w:t>≥95%</w:t>
            </w:r>
          </w:p>
        </w:tc>
        <w:tc>
          <w:tcPr>
            <w:tcW w:w="4512" w:type="dxa"/>
            <w:shd w:val="clear" w:color="auto" w:fill="auto"/>
          </w:tcPr>
          <w:p>
            <w:r>
              <w:rPr>
                <w:rFonts w:hint="eastAsia"/>
              </w:rPr>
              <w:t>满意度调查表</w:t>
            </w:r>
          </w:p>
        </w:tc>
      </w:tr>
    </w:tbl>
    <w:p>
      <w:pPr>
        <w:ind w:firstLine="560"/>
        <w:outlineLvl w:val="3"/>
      </w:pPr>
      <w:bookmarkStart w:id="82" w:name="_Toc_4_4_0000000085"/>
      <w:r>
        <w:rPr>
          <w:rFonts w:ascii="方正仿宋_GBK" w:hAnsi="方正仿宋_GBK" w:eastAsia="方正仿宋_GBK" w:cs="方正仿宋_GBK"/>
          <w:color w:val="000000"/>
          <w:sz w:val="28"/>
        </w:rPr>
        <w:t>82.城市基础设计建设工程（一般预算）绩效目标表</w:t>
      </w:r>
      <w:bookmarkEnd w:id="82"/>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打通此处可缓解第五小学、及周边小区交通压力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道路长度</w:t>
            </w:r>
          </w:p>
        </w:tc>
        <w:tc>
          <w:tcPr>
            <w:tcW w:w="1276" w:type="dxa"/>
            <w:shd w:val="clear" w:color="auto" w:fill="auto"/>
          </w:tcPr>
          <w:p>
            <w:r>
              <w:rPr>
                <w:rFonts w:hint="eastAsia"/>
              </w:rPr>
              <w:t>≤48米</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主要材料单价</w:t>
            </w:r>
          </w:p>
        </w:tc>
        <w:tc>
          <w:tcPr>
            <w:tcW w:w="3544" w:type="dxa"/>
            <w:shd w:val="clear" w:color="auto" w:fill="auto"/>
          </w:tcPr>
          <w:p>
            <w:r>
              <w:rPr>
                <w:rFonts w:hint="eastAsia"/>
              </w:rPr>
              <w:t>预拌混凝土C30</w:t>
            </w:r>
          </w:p>
        </w:tc>
        <w:tc>
          <w:tcPr>
            <w:tcW w:w="1276" w:type="dxa"/>
            <w:shd w:val="clear" w:color="auto" w:fill="auto"/>
          </w:tcPr>
          <w:p>
            <w:r>
              <w:rPr>
                <w:rFonts w:hint="eastAsia"/>
              </w:rPr>
              <w:t>≤460元/吨</w:t>
            </w:r>
          </w:p>
        </w:tc>
        <w:tc>
          <w:tcPr>
            <w:tcW w:w="4512" w:type="dxa"/>
            <w:shd w:val="clear" w:color="auto" w:fill="auto"/>
          </w:tcPr>
          <w:p>
            <w:r>
              <w:rPr>
                <w:rFonts w:hint="eastAsia"/>
              </w:rPr>
              <w:t>《三河市常用建筑安装材料及绿化苗木市场价格信息》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居住条件改善</w:t>
            </w:r>
          </w:p>
        </w:tc>
        <w:tc>
          <w:tcPr>
            <w:tcW w:w="3544" w:type="dxa"/>
            <w:shd w:val="clear" w:color="auto" w:fill="auto"/>
          </w:tcPr>
          <w:p>
            <w:r>
              <w:rPr>
                <w:rFonts w:hint="eastAsia"/>
              </w:rPr>
              <w:t>对居民居住条件的改善情况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83" w:name="_Toc_4_4_0000000086"/>
      <w:r>
        <w:rPr>
          <w:rFonts w:ascii="方正仿宋_GBK" w:hAnsi="方正仿宋_GBK" w:eastAsia="方正仿宋_GBK" w:cs="方正仿宋_GBK"/>
          <w:color w:val="000000"/>
          <w:sz w:val="28"/>
        </w:rPr>
        <w:t>83.城市基础设施建设工程绩效目标表</w:t>
      </w:r>
      <w:bookmarkEnd w:id="83"/>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随着市政道路雨污分流工作的完成，极端天气的频繁出现，既有的城市平房家属院、老旧小区排水系统老化、管道堵塞、汛期排水不畅、雨水倒灌等现象层出不穷，局部地区易出现内涝现象，原有排水管网设施已无法满足使用需求，部分平房家属院、老旧小区道路破损严重。按照省、市文件指示精神，在完成市政主管网雨污分流改造工作的基础上，我市需在2023年底前完成老旧小区、平房家属院等源头雨污分流改造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修建道路数量（背街小巷）</w:t>
            </w:r>
          </w:p>
        </w:tc>
        <w:tc>
          <w:tcPr>
            <w:tcW w:w="1276" w:type="dxa"/>
            <w:shd w:val="clear" w:color="auto" w:fill="auto"/>
          </w:tcPr>
          <w:p>
            <w:r>
              <w:rPr>
                <w:rFonts w:hint="eastAsia"/>
              </w:rPr>
              <w:t>17条</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主要材料单价</w:t>
            </w:r>
          </w:p>
        </w:tc>
        <w:tc>
          <w:tcPr>
            <w:tcW w:w="3544" w:type="dxa"/>
            <w:shd w:val="clear" w:color="auto" w:fill="auto"/>
          </w:tcPr>
          <w:p>
            <w:r>
              <w:rPr>
                <w:rFonts w:hint="eastAsia"/>
              </w:rPr>
              <w:t>预拌混凝土C30</w:t>
            </w:r>
          </w:p>
        </w:tc>
        <w:tc>
          <w:tcPr>
            <w:tcW w:w="1276" w:type="dxa"/>
            <w:shd w:val="clear" w:color="auto" w:fill="auto"/>
          </w:tcPr>
          <w:p>
            <w:r>
              <w:rPr>
                <w:rFonts w:hint="eastAsia"/>
              </w:rPr>
              <w:t>≤460元/吨</w:t>
            </w:r>
          </w:p>
        </w:tc>
        <w:tc>
          <w:tcPr>
            <w:tcW w:w="4512" w:type="dxa"/>
            <w:shd w:val="clear" w:color="auto" w:fill="auto"/>
          </w:tcPr>
          <w:p>
            <w:r>
              <w:rPr>
                <w:rFonts w:hint="eastAsia"/>
              </w:rPr>
              <w:t>《三河市常用建筑安装材料及绿化苗木市场价格信息》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居住条件改善</w:t>
            </w:r>
          </w:p>
        </w:tc>
        <w:tc>
          <w:tcPr>
            <w:tcW w:w="3544" w:type="dxa"/>
            <w:shd w:val="clear" w:color="auto" w:fill="auto"/>
          </w:tcPr>
          <w:p>
            <w:r>
              <w:rPr>
                <w:rFonts w:hint="eastAsia"/>
              </w:rPr>
              <w:t>对居民居住条件的改善情况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84" w:name="_Toc_4_4_0000000087"/>
      <w:r>
        <w:rPr>
          <w:rFonts w:ascii="方正仿宋_GBK" w:hAnsi="方正仿宋_GBK" w:eastAsia="方正仿宋_GBK" w:cs="方正仿宋_GBK"/>
          <w:color w:val="000000"/>
          <w:sz w:val="28"/>
        </w:rPr>
        <w:t>84.城市体检（东西市区）绩效目标表</w:t>
      </w:r>
      <w:bookmarkEnd w:id="84"/>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通过项目开展，建立三河市城市体检信息化平台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城市体检评估报告个数</w:t>
            </w:r>
          </w:p>
        </w:tc>
        <w:tc>
          <w:tcPr>
            <w:tcW w:w="3544" w:type="dxa"/>
            <w:shd w:val="clear" w:color="auto" w:fill="auto"/>
          </w:tcPr>
          <w:p>
            <w:r>
              <w:rPr>
                <w:rFonts w:hint="eastAsia"/>
              </w:rPr>
              <w:t>考察建设工程消防审验技术指导项目个数</w:t>
            </w:r>
          </w:p>
        </w:tc>
        <w:tc>
          <w:tcPr>
            <w:tcW w:w="1276" w:type="dxa"/>
            <w:shd w:val="clear" w:color="auto" w:fill="auto"/>
          </w:tcPr>
          <w:p>
            <w:r>
              <w:rPr>
                <w:rFonts w:hint="eastAsia"/>
              </w:rPr>
              <w:t>1项</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考察三河市城市体检评估报告审核通过情况</w:t>
            </w:r>
          </w:p>
        </w:tc>
        <w:tc>
          <w:tcPr>
            <w:tcW w:w="3544" w:type="dxa"/>
            <w:shd w:val="clear" w:color="auto" w:fill="auto"/>
          </w:tcPr>
          <w:p>
            <w:r>
              <w:rPr>
                <w:rFonts w:hint="eastAsia"/>
              </w:rPr>
              <w:t>考察城市体检评估报告审核通过率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技术指导及时性</w:t>
            </w:r>
          </w:p>
        </w:tc>
        <w:tc>
          <w:tcPr>
            <w:tcW w:w="3544" w:type="dxa"/>
            <w:shd w:val="clear" w:color="auto" w:fill="auto"/>
          </w:tcPr>
          <w:p>
            <w:r>
              <w:rPr>
                <w:rFonts w:hint="eastAsia"/>
              </w:rPr>
              <w:t>技术服务是否及时</w:t>
            </w:r>
          </w:p>
        </w:tc>
        <w:tc>
          <w:tcPr>
            <w:tcW w:w="1276" w:type="dxa"/>
            <w:shd w:val="clear" w:color="auto" w:fill="auto"/>
          </w:tcPr>
          <w:p>
            <w:r>
              <w:rPr>
                <w:rFonts w:hint="eastAsia"/>
              </w:rPr>
              <w:t>及时</w:t>
            </w:r>
          </w:p>
        </w:tc>
        <w:tc>
          <w:tcPr>
            <w:tcW w:w="4512" w:type="dxa"/>
            <w:shd w:val="clear" w:color="auto" w:fill="auto"/>
          </w:tcPr>
          <w:p>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重要设备</w:t>
            </w:r>
          </w:p>
        </w:tc>
        <w:tc>
          <w:tcPr>
            <w:tcW w:w="3544" w:type="dxa"/>
            <w:shd w:val="clear" w:color="auto" w:fill="auto"/>
          </w:tcPr>
          <w:p>
            <w:r>
              <w:rPr>
                <w:rFonts w:hint="eastAsia"/>
              </w:rPr>
              <w:t>空间数据库</w:t>
            </w:r>
          </w:p>
        </w:tc>
        <w:tc>
          <w:tcPr>
            <w:tcW w:w="1276" w:type="dxa"/>
            <w:shd w:val="clear" w:color="auto" w:fill="auto"/>
          </w:tcPr>
          <w:p>
            <w:r>
              <w:rPr>
                <w:rFonts w:hint="eastAsia"/>
              </w:rPr>
              <w:t>≤48500元/台</w:t>
            </w:r>
          </w:p>
        </w:tc>
        <w:tc>
          <w:tcPr>
            <w:tcW w:w="4512" w:type="dxa"/>
            <w:shd w:val="clear" w:color="auto" w:fill="auto"/>
          </w:tcPr>
          <w:p>
            <w:r>
              <w:rPr>
                <w:rFonts w:hint="eastAsia"/>
              </w:rP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查找城市病</w:t>
            </w:r>
          </w:p>
        </w:tc>
        <w:tc>
          <w:tcPr>
            <w:tcW w:w="3544" w:type="dxa"/>
            <w:shd w:val="clear" w:color="auto" w:fill="auto"/>
          </w:tcPr>
          <w:p>
            <w:r>
              <w:rPr>
                <w:rFonts w:hint="eastAsia"/>
              </w:rPr>
              <w:t>查找城市建设和发展中的短板与不足</w:t>
            </w:r>
          </w:p>
        </w:tc>
        <w:tc>
          <w:tcPr>
            <w:tcW w:w="1276" w:type="dxa"/>
            <w:shd w:val="clear" w:color="auto" w:fill="auto"/>
          </w:tcPr>
          <w:p>
            <w:r>
              <w:rPr>
                <w:rFonts w:hint="eastAsia"/>
              </w:rPr>
              <w:t>全部查找出</w:t>
            </w:r>
          </w:p>
        </w:tc>
        <w:tc>
          <w:tcPr>
            <w:tcW w:w="4512" w:type="dxa"/>
            <w:shd w:val="clear" w:color="auto" w:fill="auto"/>
          </w:tcPr>
          <w:p>
            <w:r>
              <w:rPr>
                <w:rFonts w:hint="eastAsia"/>
              </w:rP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考察群众对城市体检工作满意度情况</w:t>
            </w:r>
          </w:p>
        </w:tc>
        <w:tc>
          <w:tcPr>
            <w:tcW w:w="3544" w:type="dxa"/>
            <w:shd w:val="clear" w:color="auto" w:fill="auto"/>
          </w:tcPr>
          <w:p>
            <w:r>
              <w:rPr>
                <w:rFonts w:hint="eastAsia"/>
              </w:rPr>
              <w:t>考察群众对城市体检工作满意度情况</w:t>
            </w:r>
          </w:p>
        </w:tc>
        <w:tc>
          <w:tcPr>
            <w:tcW w:w="1276" w:type="dxa"/>
            <w:shd w:val="clear" w:color="auto" w:fill="auto"/>
          </w:tcPr>
          <w:p>
            <w:r>
              <w:rPr>
                <w:rFonts w:hint="eastAsia"/>
              </w:rPr>
              <w:t>≥95%</w:t>
            </w:r>
          </w:p>
        </w:tc>
        <w:tc>
          <w:tcPr>
            <w:tcW w:w="4512" w:type="dxa"/>
            <w:shd w:val="clear" w:color="auto" w:fill="auto"/>
          </w:tcPr>
          <w:p>
            <w:r>
              <w:rPr>
                <w:rFonts w:hint="eastAsia"/>
              </w:rPr>
              <w:t>问卷调查</w:t>
            </w:r>
          </w:p>
        </w:tc>
      </w:tr>
    </w:tbl>
    <w:p>
      <w:pPr>
        <w:ind w:firstLine="560"/>
        <w:outlineLvl w:val="3"/>
      </w:pPr>
      <w:bookmarkStart w:id="85" w:name="_Toc_4_4_0000000088"/>
      <w:r>
        <w:rPr>
          <w:rFonts w:ascii="方正仿宋_GBK" w:hAnsi="方正仿宋_GBK" w:eastAsia="方正仿宋_GBK" w:cs="方正仿宋_GBK"/>
          <w:color w:val="000000"/>
          <w:sz w:val="28"/>
        </w:rPr>
        <w:t>85.地下综合管廊专项规划绩效目标表</w:t>
      </w:r>
      <w:bookmarkEnd w:id="85"/>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pStyle w:val="14"/>
            </w:pPr>
            <w:r>
              <w:t>通过项目的开展实现对地下综合管廊的规划，提升城市建设品质，增强城市综合承载能力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实际完成规划面积</w:t>
            </w:r>
          </w:p>
        </w:tc>
        <w:tc>
          <w:tcPr>
            <w:tcW w:w="1276" w:type="dxa"/>
            <w:shd w:val="clear" w:color="auto" w:fill="auto"/>
          </w:tcPr>
          <w:p>
            <w:r>
              <w:rPr>
                <w:rFonts w:hint="eastAsia"/>
              </w:rPr>
              <w:t>22.18平方公里</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资金成本</w:t>
            </w:r>
          </w:p>
        </w:tc>
        <w:tc>
          <w:tcPr>
            <w:tcW w:w="3544" w:type="dxa"/>
            <w:shd w:val="clear" w:color="auto" w:fill="auto"/>
          </w:tcPr>
          <w:p>
            <w:r>
              <w:rPr>
                <w:rFonts w:hint="eastAsia"/>
              </w:rPr>
              <w:t>规划主管道成本</w:t>
            </w:r>
          </w:p>
        </w:tc>
        <w:tc>
          <w:tcPr>
            <w:tcW w:w="1276" w:type="dxa"/>
            <w:shd w:val="clear" w:color="auto" w:fill="auto"/>
          </w:tcPr>
          <w:p>
            <w:r>
              <w:rPr>
                <w:rFonts w:hint="eastAsia"/>
              </w:rPr>
              <w:t>≤6.5万元/平方千米</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有所改善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86" w:name="_Toc_4_4_0000000089"/>
      <w:r>
        <w:rPr>
          <w:rFonts w:ascii="方正仿宋_GBK" w:hAnsi="方正仿宋_GBK" w:eastAsia="方正仿宋_GBK" w:cs="方正仿宋_GBK"/>
          <w:color w:val="000000"/>
          <w:sz w:val="28"/>
        </w:rPr>
        <w:t>86.鼎盛街道部分居民区加装路灯工程绩效目标表</w:t>
      </w:r>
      <w:bookmarkEnd w:id="86"/>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通过项目的开展完成鼎盛街道部分居民区，方便市民出行，完善道路环境，美化生活环境，提升城市品味。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完成路灯安装社区数</w:t>
            </w:r>
          </w:p>
        </w:tc>
        <w:tc>
          <w:tcPr>
            <w:tcW w:w="1276" w:type="dxa"/>
            <w:shd w:val="clear" w:color="auto" w:fill="auto"/>
          </w:tcPr>
          <w:p>
            <w:r>
              <w:rPr>
                <w:rFonts w:hint="eastAsia"/>
              </w:rPr>
              <w:t>223根</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路灯单价</w:t>
            </w:r>
          </w:p>
        </w:tc>
        <w:tc>
          <w:tcPr>
            <w:tcW w:w="3544" w:type="dxa"/>
            <w:shd w:val="clear" w:color="auto" w:fill="auto"/>
          </w:tcPr>
          <w:p>
            <w:r>
              <w:rPr>
                <w:rFonts w:hint="eastAsia"/>
              </w:rPr>
              <w:t>每根太阳能路灯的价格</w:t>
            </w:r>
          </w:p>
        </w:tc>
        <w:tc>
          <w:tcPr>
            <w:tcW w:w="1276" w:type="dxa"/>
            <w:shd w:val="clear" w:color="auto" w:fill="auto"/>
          </w:tcPr>
          <w:p>
            <w:r>
              <w:rPr>
                <w:rFonts w:hint="eastAsia"/>
              </w:rPr>
              <w:t>4125元</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通过问卷调查，满意和较满意的对</w:t>
            </w:r>
          </w:p>
        </w:tc>
        <w:tc>
          <w:tcPr>
            <w:tcW w:w="3544" w:type="dxa"/>
            <w:shd w:val="clear" w:color="auto" w:fill="auto"/>
          </w:tcPr>
          <w:p>
            <w:r>
              <w:rPr>
                <w:rFonts w:hint="eastAsia"/>
              </w:rPr>
              <w:t>通过问卷调查，满意和较满意的对象占所有调查对象的比例</w:t>
            </w:r>
          </w:p>
        </w:tc>
        <w:tc>
          <w:tcPr>
            <w:tcW w:w="1276" w:type="dxa"/>
            <w:shd w:val="clear" w:color="auto" w:fill="auto"/>
          </w:tcPr>
          <w:p>
            <w:r>
              <w:rPr>
                <w:rFonts w:hint="eastAsia"/>
              </w:rPr>
              <w:t>≥95%</w:t>
            </w:r>
          </w:p>
        </w:tc>
        <w:tc>
          <w:tcPr>
            <w:tcW w:w="4512" w:type="dxa"/>
            <w:shd w:val="clear" w:color="auto" w:fill="auto"/>
          </w:tcPr>
          <w:p>
            <w:r>
              <w:rPr>
                <w:rFonts w:hint="eastAsia"/>
              </w:rPr>
              <w:t>调查问卷</w:t>
            </w:r>
          </w:p>
        </w:tc>
      </w:tr>
    </w:tbl>
    <w:p>
      <w:pPr>
        <w:ind w:firstLine="560"/>
        <w:outlineLvl w:val="3"/>
      </w:pPr>
      <w:bookmarkStart w:id="87" w:name="_Toc_4_4_0000000090"/>
      <w:r>
        <w:rPr>
          <w:rFonts w:ascii="方正仿宋_GBK" w:hAnsi="方正仿宋_GBK" w:eastAsia="方正仿宋_GBK" w:cs="方正仿宋_GBK"/>
          <w:color w:val="000000"/>
          <w:sz w:val="28"/>
        </w:rPr>
        <w:t>87.东环路改造工程绩效目标表</w:t>
      </w:r>
      <w:bookmarkEnd w:id="87"/>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通过项目的开展实现城市美化，改善道路环境等，保障城市经济发展，加快城市建设步伐。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新建沥青混凝土路面</w:t>
            </w:r>
          </w:p>
        </w:tc>
        <w:tc>
          <w:tcPr>
            <w:tcW w:w="1276" w:type="dxa"/>
            <w:shd w:val="clear" w:color="auto" w:fill="auto"/>
          </w:tcPr>
          <w:p>
            <w:r>
              <w:rPr>
                <w:rFonts w:hint="eastAsia"/>
              </w:rPr>
              <w:t>≤48995平方米</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重要材料单价</w:t>
            </w:r>
          </w:p>
        </w:tc>
        <w:tc>
          <w:tcPr>
            <w:tcW w:w="3544" w:type="dxa"/>
            <w:shd w:val="clear" w:color="auto" w:fill="auto"/>
          </w:tcPr>
          <w:p>
            <w:r>
              <w:rPr>
                <w:rFonts w:hint="eastAsia"/>
              </w:rPr>
              <w:t>预拌混凝土C30</w:t>
            </w:r>
          </w:p>
        </w:tc>
        <w:tc>
          <w:tcPr>
            <w:tcW w:w="1276" w:type="dxa"/>
            <w:shd w:val="clear" w:color="auto" w:fill="auto"/>
          </w:tcPr>
          <w:p>
            <w:r>
              <w:rPr>
                <w:rFonts w:hint="eastAsia"/>
              </w:rPr>
              <w:t>≤460元/吨</w:t>
            </w:r>
          </w:p>
        </w:tc>
        <w:tc>
          <w:tcPr>
            <w:tcW w:w="4512" w:type="dxa"/>
            <w:shd w:val="clear" w:color="auto" w:fill="auto"/>
          </w:tcPr>
          <w:p>
            <w:r>
              <w:rPr>
                <w:rFonts w:hint="eastAsia"/>
              </w:rPr>
              <w:t>三河市常用建筑安装材料及绿化苗木市场价格信息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服务对象满意度指标</w:t>
            </w:r>
          </w:p>
        </w:tc>
        <w:tc>
          <w:tcPr>
            <w:tcW w:w="3544" w:type="dxa"/>
            <w:shd w:val="clear" w:color="auto" w:fill="auto"/>
          </w:tcPr>
          <w:p>
            <w:r>
              <w:rPr>
                <w:rFonts w:hint="eastAsia"/>
              </w:rPr>
              <w:t>群众满意度</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88" w:name="_Toc_4_4_0000000091"/>
      <w:r>
        <w:rPr>
          <w:rFonts w:ascii="方正仿宋_GBK" w:hAnsi="方正仿宋_GBK" w:eastAsia="方正仿宋_GBK" w:cs="方正仿宋_GBK"/>
          <w:color w:val="000000"/>
          <w:sz w:val="28"/>
        </w:rPr>
        <w:t>88.东市区热力管网联通工程绩效目标表</w:t>
      </w:r>
      <w:bookmarkEnd w:id="88"/>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按时供热，确保供热质量，提高供热服务水平。用户室温达到供、热双方合同确定的室温标准或当地政府主管</w:t>
            </w:r>
            <w:r>
              <w:rPr>
                <w:rFonts w:hint="eastAsia"/>
                <w:lang w:eastAsia="zh-CN"/>
              </w:rPr>
              <w:t>单位</w:t>
            </w:r>
            <w:r>
              <w:t>规定的室温标准，用户室温合格率应在98%以上。</w:t>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管网敷设长度</w:t>
            </w:r>
          </w:p>
        </w:tc>
        <w:tc>
          <w:tcPr>
            <w:tcW w:w="1276" w:type="dxa"/>
            <w:shd w:val="clear" w:color="auto" w:fill="auto"/>
          </w:tcPr>
          <w:p>
            <w:r>
              <w:rPr>
                <w:rFonts w:hint="eastAsia"/>
              </w:rPr>
              <w:t>≤3715米</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主要材料单价</w:t>
            </w:r>
          </w:p>
        </w:tc>
        <w:tc>
          <w:tcPr>
            <w:tcW w:w="3544" w:type="dxa"/>
            <w:shd w:val="clear" w:color="auto" w:fill="auto"/>
          </w:tcPr>
          <w:p>
            <w:r>
              <w:rPr>
                <w:rFonts w:hint="eastAsia"/>
              </w:rPr>
              <w:t>预拌混凝土C30</w:t>
            </w:r>
          </w:p>
        </w:tc>
        <w:tc>
          <w:tcPr>
            <w:tcW w:w="1276" w:type="dxa"/>
            <w:shd w:val="clear" w:color="auto" w:fill="auto"/>
          </w:tcPr>
          <w:p>
            <w:r>
              <w:rPr>
                <w:rFonts w:hint="eastAsia"/>
              </w:rPr>
              <w:t>≤460元/吨</w:t>
            </w:r>
          </w:p>
        </w:tc>
        <w:tc>
          <w:tcPr>
            <w:tcW w:w="4512" w:type="dxa"/>
            <w:shd w:val="clear" w:color="auto" w:fill="auto"/>
          </w:tcPr>
          <w:p>
            <w:r>
              <w:rPr>
                <w:rFonts w:hint="eastAsia"/>
              </w:rPr>
              <w:t>《三河市常用建筑安装材料及绿化苗木市场价格信息》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居住条件改善</w:t>
            </w:r>
          </w:p>
        </w:tc>
        <w:tc>
          <w:tcPr>
            <w:tcW w:w="3544" w:type="dxa"/>
            <w:shd w:val="clear" w:color="auto" w:fill="auto"/>
          </w:tcPr>
          <w:p>
            <w:r>
              <w:rPr>
                <w:rFonts w:hint="eastAsia"/>
              </w:rPr>
              <w:t>对居民居住条件的改善情况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89" w:name="_Toc_4_4_0000000092"/>
      <w:r>
        <w:rPr>
          <w:rFonts w:ascii="方正仿宋_GBK" w:hAnsi="方正仿宋_GBK" w:eastAsia="方正仿宋_GBK" w:cs="方正仿宋_GBK"/>
          <w:color w:val="000000"/>
          <w:sz w:val="28"/>
        </w:rPr>
        <w:t>89.东市区主次干道绿化提升改造工程绩效目标表</w:t>
      </w:r>
      <w:bookmarkEnd w:id="89"/>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通过项目的开展，将为提高我市绿地率、创建国家级园林城市积蓄条件。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道路数量</w:t>
            </w:r>
          </w:p>
        </w:tc>
        <w:tc>
          <w:tcPr>
            <w:tcW w:w="3544" w:type="dxa"/>
            <w:shd w:val="clear" w:color="auto" w:fill="auto"/>
          </w:tcPr>
          <w:p>
            <w:r>
              <w:rPr>
                <w:rFonts w:hint="eastAsia"/>
              </w:rPr>
              <w:t xml:space="preserve">提升主次干道道路数量                          </w:t>
            </w:r>
          </w:p>
        </w:tc>
        <w:tc>
          <w:tcPr>
            <w:tcW w:w="1276" w:type="dxa"/>
            <w:shd w:val="clear" w:color="auto" w:fill="auto"/>
          </w:tcPr>
          <w:p>
            <w:r>
              <w:rPr>
                <w:rFonts w:hint="eastAsia"/>
              </w:rPr>
              <w:t>8条</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质量达标率（%）</w:t>
            </w:r>
          </w:p>
        </w:tc>
        <w:tc>
          <w:tcPr>
            <w:tcW w:w="3544" w:type="dxa"/>
            <w:shd w:val="clear" w:color="auto" w:fill="auto"/>
          </w:tcPr>
          <w:p>
            <w:r>
              <w:rPr>
                <w:rFonts w:hint="eastAsia"/>
              </w:rPr>
              <w:t>通过验收工程质量达标率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及时完成率（%）</w:t>
            </w:r>
          </w:p>
        </w:tc>
        <w:tc>
          <w:tcPr>
            <w:tcW w:w="3544" w:type="dxa"/>
            <w:shd w:val="clear" w:color="auto" w:fill="auto"/>
          </w:tcPr>
          <w:p>
            <w:r>
              <w:rPr>
                <w:rFonts w:hint="eastAsia"/>
              </w:rPr>
              <w:t>工程及时完成率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透水砖单价</w:t>
            </w:r>
          </w:p>
        </w:tc>
        <w:tc>
          <w:tcPr>
            <w:tcW w:w="3544" w:type="dxa"/>
            <w:shd w:val="clear" w:color="auto" w:fill="auto"/>
          </w:tcPr>
          <w:p>
            <w:r>
              <w:rPr>
                <w:rFonts w:hint="eastAsia"/>
              </w:rPr>
              <w:t>透水砖每平米价格</w:t>
            </w:r>
          </w:p>
        </w:tc>
        <w:tc>
          <w:tcPr>
            <w:tcW w:w="1276" w:type="dxa"/>
            <w:shd w:val="clear" w:color="auto" w:fill="auto"/>
          </w:tcPr>
          <w:p>
            <w:r>
              <w:rPr>
                <w:rFonts w:hint="eastAsia"/>
              </w:rPr>
              <w:t>≤45元</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改善城市环境</w:t>
            </w:r>
          </w:p>
        </w:tc>
        <w:tc>
          <w:tcPr>
            <w:tcW w:w="3544" w:type="dxa"/>
            <w:shd w:val="clear" w:color="auto" w:fill="auto"/>
          </w:tcPr>
          <w:p>
            <w:r>
              <w:rPr>
                <w:rFonts w:hint="eastAsia"/>
              </w:rPr>
              <w:t>改善城市环境情况</w:t>
            </w:r>
          </w:p>
        </w:tc>
        <w:tc>
          <w:tcPr>
            <w:tcW w:w="1276" w:type="dxa"/>
            <w:shd w:val="clear" w:color="auto" w:fill="auto"/>
          </w:tcPr>
          <w:p>
            <w:r>
              <w:rPr>
                <w:rFonts w:hint="eastAsia"/>
              </w:rPr>
              <w:t>有所改善</w:t>
            </w:r>
          </w:p>
        </w:tc>
        <w:tc>
          <w:tcPr>
            <w:tcW w:w="4512" w:type="dxa"/>
            <w:shd w:val="clear" w:color="auto" w:fill="auto"/>
          </w:tcPr>
          <w:p>
            <w:r>
              <w:rPr>
                <w:rFonts w:hint="eastAsia"/>
              </w:rPr>
              <w:t xml:space="preserve">施工合同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受益对象满意度</w:t>
            </w:r>
          </w:p>
        </w:tc>
        <w:tc>
          <w:tcPr>
            <w:tcW w:w="3544" w:type="dxa"/>
            <w:shd w:val="clear" w:color="auto" w:fill="auto"/>
          </w:tcPr>
          <w:p>
            <w:r>
              <w:rPr>
                <w:rFonts w:hint="eastAsia"/>
              </w:rPr>
              <w:t>反映受益对象满意率情况</w:t>
            </w:r>
          </w:p>
        </w:tc>
        <w:tc>
          <w:tcPr>
            <w:tcW w:w="1276" w:type="dxa"/>
            <w:shd w:val="clear" w:color="auto" w:fill="auto"/>
          </w:tcPr>
          <w:p>
            <w:r>
              <w:rPr>
                <w:rFonts w:hint="eastAsia"/>
              </w:rPr>
              <w:t>≥90%</w:t>
            </w:r>
          </w:p>
        </w:tc>
        <w:tc>
          <w:tcPr>
            <w:tcW w:w="4512" w:type="dxa"/>
            <w:shd w:val="clear" w:color="auto" w:fill="auto"/>
          </w:tcPr>
          <w:p>
            <w:r>
              <w:rPr>
                <w:rFonts w:hint="eastAsia"/>
              </w:rPr>
              <w:t>满意度调查表</w:t>
            </w:r>
          </w:p>
        </w:tc>
      </w:tr>
    </w:tbl>
    <w:p>
      <w:pPr>
        <w:ind w:firstLine="560"/>
        <w:outlineLvl w:val="3"/>
      </w:pPr>
      <w:bookmarkStart w:id="90" w:name="_Toc_4_4_0000000093"/>
      <w:r>
        <w:rPr>
          <w:rFonts w:ascii="方正仿宋_GBK" w:hAnsi="方正仿宋_GBK" w:eastAsia="方正仿宋_GBK" w:cs="方正仿宋_GBK"/>
          <w:color w:val="000000"/>
          <w:sz w:val="28"/>
        </w:rPr>
        <w:t>90.儿童公园绩效目标表</w:t>
      </w:r>
      <w:bookmarkEnd w:id="9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通过项目的开展，将为提高我市绿地率、创建国家级园林城市积蓄条件。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占地面积</w:t>
            </w:r>
          </w:p>
        </w:tc>
        <w:tc>
          <w:tcPr>
            <w:tcW w:w="3544" w:type="dxa"/>
            <w:shd w:val="clear" w:color="auto" w:fill="auto"/>
          </w:tcPr>
          <w:p>
            <w:r>
              <w:rPr>
                <w:rFonts w:hint="eastAsia"/>
              </w:rPr>
              <w:t>工程占地面积</w:t>
            </w:r>
          </w:p>
        </w:tc>
        <w:tc>
          <w:tcPr>
            <w:tcW w:w="1276" w:type="dxa"/>
            <w:shd w:val="clear" w:color="auto" w:fill="auto"/>
          </w:tcPr>
          <w:p>
            <w:r>
              <w:rPr>
                <w:rFonts w:hint="eastAsia"/>
              </w:rPr>
              <w:t>70亩</w:t>
            </w:r>
          </w:p>
        </w:tc>
        <w:tc>
          <w:tcPr>
            <w:tcW w:w="4512" w:type="dxa"/>
            <w:shd w:val="clear" w:color="auto" w:fill="auto"/>
          </w:tcPr>
          <w:p>
            <w:r>
              <w:rPr>
                <w:rFonts w:hint="eastAsia"/>
              </w:rPr>
              <w:t>测绘数据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质量达标率（%）</w:t>
            </w:r>
          </w:p>
        </w:tc>
        <w:tc>
          <w:tcPr>
            <w:tcW w:w="3544" w:type="dxa"/>
            <w:shd w:val="clear" w:color="auto" w:fill="auto"/>
          </w:tcPr>
          <w:p>
            <w:r>
              <w:rPr>
                <w:rFonts w:hint="eastAsia"/>
              </w:rPr>
              <w:t>通过验收工程质量达标率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及时完成率（%）</w:t>
            </w:r>
          </w:p>
        </w:tc>
        <w:tc>
          <w:tcPr>
            <w:tcW w:w="3544" w:type="dxa"/>
            <w:shd w:val="clear" w:color="auto" w:fill="auto"/>
          </w:tcPr>
          <w:p>
            <w:r>
              <w:rPr>
                <w:rFonts w:hint="eastAsia"/>
              </w:rPr>
              <w:t>工程及时完成率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山桃单价</w:t>
            </w:r>
          </w:p>
        </w:tc>
        <w:tc>
          <w:tcPr>
            <w:tcW w:w="3544" w:type="dxa"/>
            <w:shd w:val="clear" w:color="auto" w:fill="auto"/>
          </w:tcPr>
          <w:p>
            <w:r>
              <w:rPr>
                <w:rFonts w:hint="eastAsia"/>
              </w:rPr>
              <w:t>栽植山桃（一级苗）每株单价</w:t>
            </w:r>
          </w:p>
        </w:tc>
        <w:tc>
          <w:tcPr>
            <w:tcW w:w="1276" w:type="dxa"/>
            <w:shd w:val="clear" w:color="auto" w:fill="auto"/>
          </w:tcPr>
          <w:p>
            <w:r>
              <w:rPr>
                <w:rFonts w:hint="eastAsia"/>
              </w:rPr>
              <w:t>≤491元</w:t>
            </w:r>
          </w:p>
        </w:tc>
        <w:tc>
          <w:tcPr>
            <w:tcW w:w="4512" w:type="dxa"/>
            <w:shd w:val="clear" w:color="auto" w:fill="auto"/>
          </w:tcPr>
          <w:p>
            <w:r>
              <w:rPr>
                <w:rFonts w:hint="eastAsia"/>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城市环境</w:t>
            </w:r>
          </w:p>
        </w:tc>
        <w:tc>
          <w:tcPr>
            <w:tcW w:w="3544" w:type="dxa"/>
            <w:shd w:val="clear" w:color="auto" w:fill="auto"/>
          </w:tcPr>
          <w:p>
            <w:r>
              <w:rPr>
                <w:rFonts w:hint="eastAsia"/>
              </w:rPr>
              <w:t xml:space="preserve">改善城市环境                            </w:t>
            </w:r>
          </w:p>
        </w:tc>
        <w:tc>
          <w:tcPr>
            <w:tcW w:w="1276" w:type="dxa"/>
            <w:shd w:val="clear" w:color="auto" w:fill="auto"/>
          </w:tcPr>
          <w:p>
            <w:r>
              <w:rPr>
                <w:rFonts w:hint="eastAsia"/>
              </w:rPr>
              <w:t>有所改善</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受益对象满意度</w:t>
            </w:r>
          </w:p>
        </w:tc>
        <w:tc>
          <w:tcPr>
            <w:tcW w:w="3544" w:type="dxa"/>
            <w:shd w:val="clear" w:color="auto" w:fill="auto"/>
          </w:tcPr>
          <w:p>
            <w:r>
              <w:rPr>
                <w:rFonts w:hint="eastAsia"/>
              </w:rPr>
              <w:t xml:space="preserve">反映受益对象满意率情况                    </w:t>
            </w:r>
          </w:p>
        </w:tc>
        <w:tc>
          <w:tcPr>
            <w:tcW w:w="1276" w:type="dxa"/>
            <w:shd w:val="clear" w:color="auto" w:fill="auto"/>
          </w:tcPr>
          <w:p>
            <w:r>
              <w:rPr>
                <w:rFonts w:hint="eastAsia"/>
              </w:rPr>
              <w:t>≥90%</w:t>
            </w:r>
          </w:p>
        </w:tc>
        <w:tc>
          <w:tcPr>
            <w:tcW w:w="4512" w:type="dxa"/>
            <w:shd w:val="clear" w:color="auto" w:fill="auto"/>
          </w:tcPr>
          <w:p>
            <w:r>
              <w:rPr>
                <w:rFonts w:hint="eastAsia"/>
              </w:rPr>
              <w:t>满意度调查表</w:t>
            </w:r>
          </w:p>
        </w:tc>
      </w:tr>
    </w:tbl>
    <w:p>
      <w:pPr>
        <w:ind w:firstLine="560"/>
        <w:outlineLvl w:val="3"/>
      </w:pPr>
      <w:bookmarkStart w:id="91" w:name="_Toc_4_4_0000000094"/>
      <w:r>
        <w:rPr>
          <w:rFonts w:ascii="方正仿宋_GBK" w:hAnsi="方正仿宋_GBK" w:eastAsia="方正仿宋_GBK" w:cs="方正仿宋_GBK"/>
          <w:color w:val="000000"/>
          <w:sz w:val="28"/>
        </w:rPr>
        <w:t>91.府北街东段道路及排水改造工程绩效目标表</w:t>
      </w:r>
      <w:bookmarkEnd w:id="91"/>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通过项目的实施实现城市雨污分流，加强排污排水能力等，改善城市交通环境，方便市民出行，发挥交通优势。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沥青混凝土道路长度</w:t>
            </w:r>
          </w:p>
        </w:tc>
        <w:tc>
          <w:tcPr>
            <w:tcW w:w="1276" w:type="dxa"/>
            <w:shd w:val="clear" w:color="auto" w:fill="auto"/>
          </w:tcPr>
          <w:p>
            <w:r>
              <w:rPr>
                <w:rFonts w:hint="eastAsia"/>
              </w:rPr>
              <w:t>≤284米</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主要材料单价</w:t>
            </w:r>
          </w:p>
        </w:tc>
        <w:tc>
          <w:tcPr>
            <w:tcW w:w="3544" w:type="dxa"/>
            <w:shd w:val="clear" w:color="auto" w:fill="auto"/>
          </w:tcPr>
          <w:p>
            <w:r>
              <w:rPr>
                <w:rFonts w:hint="eastAsia"/>
              </w:rPr>
              <w:t>预拌混凝土C25</w:t>
            </w:r>
          </w:p>
        </w:tc>
        <w:tc>
          <w:tcPr>
            <w:tcW w:w="1276" w:type="dxa"/>
            <w:shd w:val="clear" w:color="auto" w:fill="auto"/>
          </w:tcPr>
          <w:p>
            <w:r>
              <w:rPr>
                <w:rFonts w:hint="eastAsia"/>
              </w:rPr>
              <w:t>≤325元/吨</w:t>
            </w:r>
          </w:p>
        </w:tc>
        <w:tc>
          <w:tcPr>
            <w:tcW w:w="4512" w:type="dxa"/>
            <w:shd w:val="clear" w:color="auto" w:fill="auto"/>
          </w:tcPr>
          <w:p>
            <w:r>
              <w:rPr>
                <w:rFonts w:hint="eastAsia"/>
              </w:rPr>
              <w:t>三河市常用建筑安装材料及绿化苗木市场价格信息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问卷调查</w:t>
            </w:r>
          </w:p>
        </w:tc>
      </w:tr>
    </w:tbl>
    <w:p>
      <w:pPr>
        <w:ind w:firstLine="560"/>
        <w:outlineLvl w:val="3"/>
      </w:pPr>
      <w:bookmarkStart w:id="92" w:name="_Toc_4_4_0000000095"/>
      <w:r>
        <w:rPr>
          <w:rFonts w:ascii="方正仿宋_GBK" w:hAnsi="方正仿宋_GBK" w:eastAsia="方正仿宋_GBK" w:cs="方正仿宋_GBK"/>
          <w:color w:val="000000"/>
          <w:sz w:val="28"/>
        </w:rPr>
        <w:t>92.府北街景观提升工程（市政）绩效目标表</w:t>
      </w:r>
      <w:bookmarkEnd w:id="92"/>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通过对府北街拆违后人行道破损严重等问题进行整改及景观提升，保障府北街整体整洁及正常运转。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清掏检查井等数量</w:t>
            </w:r>
          </w:p>
        </w:tc>
        <w:tc>
          <w:tcPr>
            <w:tcW w:w="3544" w:type="dxa"/>
            <w:shd w:val="clear" w:color="auto" w:fill="auto"/>
          </w:tcPr>
          <w:p>
            <w:r>
              <w:rPr>
                <w:rFonts w:hint="eastAsia"/>
              </w:rPr>
              <w:t>实际清掏检查井、雨水井数量</w:t>
            </w:r>
          </w:p>
        </w:tc>
        <w:tc>
          <w:tcPr>
            <w:tcW w:w="1276" w:type="dxa"/>
            <w:shd w:val="clear" w:color="auto" w:fill="auto"/>
          </w:tcPr>
          <w:p>
            <w:r>
              <w:rPr>
                <w:rFonts w:hint="eastAsia"/>
              </w:rPr>
              <w:t>58座</w:t>
            </w:r>
          </w:p>
        </w:tc>
        <w:tc>
          <w:tcPr>
            <w:tcW w:w="4512" w:type="dxa"/>
            <w:shd w:val="clear" w:color="auto" w:fill="auto"/>
          </w:tcPr>
          <w:p>
            <w:r>
              <w:rPr>
                <w:rFonts w:hint="eastAsia"/>
              </w:rPr>
              <w:t>《关于府北街景观提升工程施工方案》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反映工作验收合格情况</w:t>
            </w:r>
          </w:p>
        </w:tc>
        <w:tc>
          <w:tcPr>
            <w:tcW w:w="1276" w:type="dxa"/>
            <w:shd w:val="clear" w:color="auto" w:fill="auto"/>
          </w:tcPr>
          <w:p>
            <w:r>
              <w:rPr>
                <w:rFonts w:hint="eastAsia"/>
              </w:rPr>
              <w:t>100%</w:t>
            </w:r>
          </w:p>
        </w:tc>
        <w:tc>
          <w:tcPr>
            <w:tcW w:w="4512" w:type="dxa"/>
            <w:shd w:val="clear" w:color="auto" w:fill="auto"/>
          </w:tcPr>
          <w:p>
            <w:r>
              <w:rPr>
                <w:rFonts w:hint="eastAsia"/>
              </w:rPr>
              <w:t>《关于府北街景观提升工程施工方案》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按期完成的工程量占总工程量的比率</w:t>
            </w:r>
          </w:p>
        </w:tc>
        <w:tc>
          <w:tcPr>
            <w:tcW w:w="1276" w:type="dxa"/>
            <w:shd w:val="clear" w:color="auto" w:fill="auto"/>
          </w:tcPr>
          <w:p>
            <w:r>
              <w:rPr>
                <w:rFonts w:hint="eastAsia"/>
              </w:rPr>
              <w:t>≥90%</w:t>
            </w:r>
          </w:p>
        </w:tc>
        <w:tc>
          <w:tcPr>
            <w:tcW w:w="4512" w:type="dxa"/>
            <w:shd w:val="clear" w:color="auto" w:fill="auto"/>
          </w:tcPr>
          <w:p>
            <w:r>
              <w:rPr>
                <w:rFonts w:hint="eastAsia"/>
              </w:rPr>
              <w:t>《关于府北街景观提升工程施工方案》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施工中小型运输车租赁价格</w:t>
            </w:r>
          </w:p>
        </w:tc>
        <w:tc>
          <w:tcPr>
            <w:tcW w:w="3544" w:type="dxa"/>
            <w:shd w:val="clear" w:color="auto" w:fill="auto"/>
          </w:tcPr>
          <w:p>
            <w:r>
              <w:rPr>
                <w:rFonts w:hint="eastAsia"/>
              </w:rPr>
              <w:t>租赁小型运输车总价格</w:t>
            </w:r>
          </w:p>
        </w:tc>
        <w:tc>
          <w:tcPr>
            <w:tcW w:w="1276" w:type="dxa"/>
            <w:shd w:val="clear" w:color="auto" w:fill="auto"/>
          </w:tcPr>
          <w:p>
            <w:r>
              <w:rPr>
                <w:rFonts w:hint="eastAsia"/>
              </w:rPr>
              <w:t>≤68220元</w:t>
            </w:r>
          </w:p>
        </w:tc>
        <w:tc>
          <w:tcPr>
            <w:tcW w:w="4512" w:type="dxa"/>
            <w:shd w:val="clear" w:color="auto" w:fill="auto"/>
          </w:tcPr>
          <w:p>
            <w:r>
              <w:rPr>
                <w:rFonts w:hint="eastAsia"/>
              </w:rPr>
              <w:t>工程造价汇总表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通过维护改造，消除隐患情况</w:t>
            </w:r>
          </w:p>
        </w:tc>
        <w:tc>
          <w:tcPr>
            <w:tcW w:w="1276" w:type="dxa"/>
            <w:shd w:val="clear" w:color="auto" w:fill="auto"/>
          </w:tcPr>
          <w:p>
            <w:r>
              <w:rPr>
                <w:rFonts w:hint="eastAsia"/>
              </w:rPr>
              <w:t>有所改善</w:t>
            </w:r>
          </w:p>
        </w:tc>
        <w:tc>
          <w:tcPr>
            <w:tcW w:w="4512" w:type="dxa"/>
            <w:shd w:val="clear" w:color="auto" w:fill="auto"/>
          </w:tcPr>
          <w:p>
            <w:r>
              <w:rPr>
                <w:rFonts w:hint="eastAsia"/>
              </w:rPr>
              <w:t>《关于府北街景观提升工程施工方案》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受益群体调查中，满意和较满意的人数占全部调查人数的比率</w:t>
            </w:r>
          </w:p>
        </w:tc>
        <w:tc>
          <w:tcPr>
            <w:tcW w:w="1276" w:type="dxa"/>
            <w:shd w:val="clear" w:color="auto" w:fill="auto"/>
          </w:tcPr>
          <w:p>
            <w:r>
              <w:rPr>
                <w:rFonts w:hint="eastAsia"/>
              </w:rPr>
              <w:t>≥90%</w:t>
            </w:r>
          </w:p>
        </w:tc>
        <w:tc>
          <w:tcPr>
            <w:tcW w:w="4512" w:type="dxa"/>
            <w:shd w:val="clear" w:color="auto" w:fill="auto"/>
          </w:tcPr>
          <w:p>
            <w:r>
              <w:rPr>
                <w:rFonts w:hint="eastAsia"/>
              </w:rPr>
              <w:t>满意度调查表</w:t>
            </w:r>
          </w:p>
        </w:tc>
      </w:tr>
    </w:tbl>
    <w:p>
      <w:pPr>
        <w:ind w:firstLine="560"/>
        <w:outlineLvl w:val="3"/>
      </w:pPr>
      <w:bookmarkStart w:id="93" w:name="_Toc_4_4_0000000096"/>
      <w:r>
        <w:rPr>
          <w:rFonts w:ascii="方正仿宋_GBK" w:hAnsi="方正仿宋_GBK" w:eastAsia="方正仿宋_GBK" w:cs="方正仿宋_GBK"/>
          <w:color w:val="000000"/>
          <w:sz w:val="28"/>
        </w:rPr>
        <w:t>93.府东路北段改造工程绩效目标表</w:t>
      </w:r>
      <w:bookmarkEnd w:id="93"/>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通过项目的开展实现城市雨污分流，加强排污排水能力等，保护生态环境，保障城市经济发展，加快城市建设步伐。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改造府东路北段长度</w:t>
            </w:r>
          </w:p>
        </w:tc>
        <w:tc>
          <w:tcPr>
            <w:tcW w:w="1276" w:type="dxa"/>
            <w:shd w:val="clear" w:color="auto" w:fill="auto"/>
          </w:tcPr>
          <w:p>
            <w:r>
              <w:rPr>
                <w:rFonts w:hint="eastAsia"/>
              </w:rPr>
              <w:t>389.44米</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重要材料单价</w:t>
            </w:r>
          </w:p>
        </w:tc>
        <w:tc>
          <w:tcPr>
            <w:tcW w:w="3544" w:type="dxa"/>
            <w:shd w:val="clear" w:color="auto" w:fill="auto"/>
          </w:tcPr>
          <w:p>
            <w:r>
              <w:rPr>
                <w:rFonts w:hint="eastAsia"/>
              </w:rPr>
              <w:t>预拌混凝土C30</w:t>
            </w:r>
          </w:p>
        </w:tc>
        <w:tc>
          <w:tcPr>
            <w:tcW w:w="1276" w:type="dxa"/>
            <w:shd w:val="clear" w:color="auto" w:fill="auto"/>
          </w:tcPr>
          <w:p>
            <w:r>
              <w:rPr>
                <w:rFonts w:hint="eastAsia"/>
              </w:rPr>
              <w:t>≤460元</w:t>
            </w:r>
          </w:p>
        </w:tc>
        <w:tc>
          <w:tcPr>
            <w:tcW w:w="4512" w:type="dxa"/>
            <w:shd w:val="clear" w:color="auto" w:fill="auto"/>
          </w:tcPr>
          <w:p>
            <w:r>
              <w:rPr>
                <w:rFonts w:hint="eastAsia"/>
              </w:rPr>
              <w:t>三河市常用建筑安装材料及绿化苗木市场价格信息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94" w:name="_Toc_4_4_0000000097"/>
      <w:r>
        <w:rPr>
          <w:rFonts w:ascii="方正仿宋_GBK" w:hAnsi="方正仿宋_GBK" w:eastAsia="方正仿宋_GBK" w:cs="方正仿宋_GBK"/>
          <w:color w:val="000000"/>
          <w:sz w:val="28"/>
        </w:rPr>
        <w:t>94.府东路南段改造工程绩效目标表</w:t>
      </w:r>
      <w:bookmarkEnd w:id="94"/>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通过项目的开展实现城市雨污分流，加强排污排水能力等，保护生态环境，保障城市经济发展，加快城市建设步伐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铺设排水管道</w:t>
            </w:r>
          </w:p>
        </w:tc>
        <w:tc>
          <w:tcPr>
            <w:tcW w:w="1276" w:type="dxa"/>
            <w:shd w:val="clear" w:color="auto" w:fill="auto"/>
          </w:tcPr>
          <w:p>
            <w:r>
              <w:rPr>
                <w:rFonts w:hint="eastAsia"/>
              </w:rPr>
              <w:t>726.35米</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项目建设成本</w:t>
            </w:r>
          </w:p>
        </w:tc>
        <w:tc>
          <w:tcPr>
            <w:tcW w:w="3544" w:type="dxa"/>
            <w:shd w:val="clear" w:color="auto" w:fill="auto"/>
          </w:tcPr>
          <w:p>
            <w:r>
              <w:rPr>
                <w:rFonts w:hint="eastAsia"/>
              </w:rPr>
              <w:t>沥青混凝土</w:t>
            </w:r>
          </w:p>
        </w:tc>
        <w:tc>
          <w:tcPr>
            <w:tcW w:w="1276" w:type="dxa"/>
            <w:shd w:val="clear" w:color="auto" w:fill="auto"/>
          </w:tcPr>
          <w:p>
            <w:r>
              <w:rPr>
                <w:rFonts w:hint="eastAsia"/>
              </w:rPr>
              <w:t>≤297.47元/平方</w:t>
            </w:r>
          </w:p>
        </w:tc>
        <w:tc>
          <w:tcPr>
            <w:tcW w:w="4512" w:type="dxa"/>
            <w:shd w:val="clear" w:color="auto" w:fill="auto"/>
          </w:tcPr>
          <w:p>
            <w:r>
              <w:rPr>
                <w:rFonts w:hint="eastAsia"/>
              </w:rPr>
              <w:t>财政评审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95" w:name="_Toc_4_4_0000000098"/>
      <w:r>
        <w:rPr>
          <w:rFonts w:ascii="方正仿宋_GBK" w:hAnsi="方正仿宋_GBK" w:eastAsia="方正仿宋_GBK" w:cs="方正仿宋_GBK"/>
          <w:color w:val="000000"/>
          <w:sz w:val="28"/>
        </w:rPr>
        <w:t>95.海绵城市试点城市申报中介服务绩效目标表</w:t>
      </w:r>
      <w:bookmarkEnd w:id="95"/>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通过项目开展，顺利申报海绵示范城市。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《实施方案》个数</w:t>
            </w:r>
          </w:p>
        </w:tc>
        <w:tc>
          <w:tcPr>
            <w:tcW w:w="3544" w:type="dxa"/>
            <w:shd w:val="clear" w:color="auto" w:fill="auto"/>
          </w:tcPr>
          <w:p>
            <w:r>
              <w:rPr>
                <w:rFonts w:hint="eastAsia"/>
              </w:rPr>
              <w:t>考察《实施方案》个数</w:t>
            </w:r>
          </w:p>
        </w:tc>
        <w:tc>
          <w:tcPr>
            <w:tcW w:w="1276" w:type="dxa"/>
            <w:shd w:val="clear" w:color="auto" w:fill="auto"/>
          </w:tcPr>
          <w:p>
            <w:r>
              <w:rPr>
                <w:rFonts w:hint="eastAsia"/>
              </w:rPr>
              <w:t>1个</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审核通过率</w:t>
            </w:r>
          </w:p>
        </w:tc>
        <w:tc>
          <w:tcPr>
            <w:tcW w:w="3544" w:type="dxa"/>
            <w:shd w:val="clear" w:color="auto" w:fill="auto"/>
          </w:tcPr>
          <w:p>
            <w:r>
              <w:rPr>
                <w:rFonts w:hint="eastAsia"/>
              </w:rPr>
              <w:t>考察《实施方案》审核通过率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编制服务及时性</w:t>
            </w:r>
          </w:p>
        </w:tc>
        <w:tc>
          <w:tcPr>
            <w:tcW w:w="3544" w:type="dxa"/>
            <w:shd w:val="clear" w:color="auto" w:fill="auto"/>
          </w:tcPr>
          <w:p>
            <w:r>
              <w:rPr>
                <w:rFonts w:hint="eastAsia"/>
              </w:rPr>
              <w:t>技术服务是否及时</w:t>
            </w:r>
          </w:p>
        </w:tc>
        <w:tc>
          <w:tcPr>
            <w:tcW w:w="1276" w:type="dxa"/>
            <w:shd w:val="clear" w:color="auto" w:fill="auto"/>
          </w:tcPr>
          <w:p>
            <w:r>
              <w:rPr>
                <w:rFonts w:hint="eastAsia"/>
              </w:rPr>
              <w:t>及时</w:t>
            </w:r>
          </w:p>
        </w:tc>
        <w:tc>
          <w:tcPr>
            <w:tcW w:w="4512" w:type="dxa"/>
            <w:shd w:val="clear" w:color="auto" w:fill="auto"/>
          </w:tcPr>
          <w:p>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服务类采购总成本</w:t>
            </w:r>
          </w:p>
        </w:tc>
        <w:tc>
          <w:tcPr>
            <w:tcW w:w="3544" w:type="dxa"/>
            <w:shd w:val="clear" w:color="auto" w:fill="auto"/>
          </w:tcPr>
          <w:p>
            <w:r>
              <w:rPr>
                <w:rFonts w:hint="eastAsia"/>
              </w:rPr>
              <w:t>项目中标金额</w:t>
            </w:r>
          </w:p>
        </w:tc>
        <w:tc>
          <w:tcPr>
            <w:tcW w:w="1276" w:type="dxa"/>
            <w:shd w:val="clear" w:color="auto" w:fill="auto"/>
          </w:tcPr>
          <w:p>
            <w:r>
              <w:rPr>
                <w:rFonts w:hint="eastAsia"/>
              </w:rPr>
              <w:t>≤120万元</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公共服务水平提升情况</w:t>
            </w:r>
          </w:p>
        </w:tc>
        <w:tc>
          <w:tcPr>
            <w:tcW w:w="3544" w:type="dxa"/>
            <w:shd w:val="clear" w:color="auto" w:fill="auto"/>
          </w:tcPr>
          <w:p>
            <w:r>
              <w:rPr>
                <w:rFonts w:hint="eastAsia"/>
              </w:rPr>
              <w:t>公共服务水平提升情况</w:t>
            </w:r>
          </w:p>
        </w:tc>
        <w:tc>
          <w:tcPr>
            <w:tcW w:w="1276" w:type="dxa"/>
            <w:shd w:val="clear" w:color="auto" w:fill="auto"/>
          </w:tcPr>
          <w:p>
            <w:r>
              <w:rPr>
                <w:rFonts w:hint="eastAsia"/>
              </w:rPr>
              <w:t>有所提升</w:t>
            </w:r>
          </w:p>
        </w:tc>
        <w:tc>
          <w:tcPr>
            <w:tcW w:w="4512" w:type="dxa"/>
            <w:shd w:val="clear" w:color="auto" w:fill="auto"/>
          </w:tcPr>
          <w:p>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考察群众对《实施方案》满意度情况</w:t>
            </w:r>
          </w:p>
        </w:tc>
        <w:tc>
          <w:tcPr>
            <w:tcW w:w="3544" w:type="dxa"/>
            <w:shd w:val="clear" w:color="auto" w:fill="auto"/>
          </w:tcPr>
          <w:p>
            <w:r>
              <w:rPr>
                <w:rFonts w:hint="eastAsia"/>
              </w:rPr>
              <w:t>考察群众对《实施方案》满意度情况</w:t>
            </w:r>
          </w:p>
        </w:tc>
        <w:tc>
          <w:tcPr>
            <w:tcW w:w="1276" w:type="dxa"/>
            <w:shd w:val="clear" w:color="auto" w:fill="auto"/>
          </w:tcPr>
          <w:p>
            <w:r>
              <w:rPr>
                <w:rFonts w:hint="eastAsia"/>
              </w:rPr>
              <w:t>≥95%</w:t>
            </w:r>
          </w:p>
        </w:tc>
        <w:tc>
          <w:tcPr>
            <w:tcW w:w="4512" w:type="dxa"/>
            <w:shd w:val="clear" w:color="auto" w:fill="auto"/>
          </w:tcPr>
          <w:p>
            <w:r>
              <w:rPr>
                <w:rFonts w:hint="eastAsia"/>
              </w:rPr>
              <w:t>问卷调查</w:t>
            </w:r>
          </w:p>
        </w:tc>
      </w:tr>
    </w:tbl>
    <w:p>
      <w:pPr>
        <w:ind w:firstLine="560"/>
        <w:outlineLvl w:val="3"/>
      </w:pPr>
      <w:bookmarkStart w:id="96" w:name="_Toc_4_4_0000000099"/>
      <w:r>
        <w:rPr>
          <w:rFonts w:ascii="方正仿宋_GBK" w:hAnsi="方正仿宋_GBK" w:eastAsia="方正仿宋_GBK" w:cs="方正仿宋_GBK"/>
          <w:color w:val="000000"/>
          <w:sz w:val="28"/>
        </w:rPr>
        <w:t>96.海绵城市专项规划绩效目标表</w:t>
      </w:r>
      <w:bookmarkEnd w:id="96"/>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通过项目的开展实现对海绵城市建设的规划，为发挥建筑、道路和绿地、水系等生态系统对雨水的吸纳、蓄渗和缓解制定规划，提高新型城镇化质量，促进人与自然和谐发展。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实际完成规划面积</w:t>
            </w:r>
          </w:p>
        </w:tc>
        <w:tc>
          <w:tcPr>
            <w:tcW w:w="1276" w:type="dxa"/>
            <w:shd w:val="clear" w:color="auto" w:fill="auto"/>
          </w:tcPr>
          <w:p>
            <w:r>
              <w:rPr>
                <w:rFonts w:hint="eastAsia"/>
              </w:rPr>
              <w:t>22.18平方公里</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资金成本</w:t>
            </w:r>
          </w:p>
        </w:tc>
        <w:tc>
          <w:tcPr>
            <w:tcW w:w="3544" w:type="dxa"/>
            <w:shd w:val="clear" w:color="auto" w:fill="auto"/>
          </w:tcPr>
          <w:p>
            <w:r>
              <w:rPr>
                <w:rFonts w:hint="eastAsia"/>
              </w:rPr>
              <w:t>海绵城市建设专项详细规划</w:t>
            </w:r>
          </w:p>
        </w:tc>
        <w:tc>
          <w:tcPr>
            <w:tcW w:w="1276" w:type="dxa"/>
            <w:shd w:val="clear" w:color="auto" w:fill="auto"/>
          </w:tcPr>
          <w:p>
            <w:r>
              <w:rPr>
                <w:rFonts w:hint="eastAsia"/>
              </w:rPr>
              <w:t>≤10万元/平方千米</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有所改善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97" w:name="_Toc_4_4_0000000100"/>
      <w:r>
        <w:rPr>
          <w:rFonts w:ascii="方正仿宋_GBK" w:hAnsi="方正仿宋_GBK" w:eastAsia="方正仿宋_GBK" w:cs="方正仿宋_GBK"/>
          <w:color w:val="000000"/>
          <w:sz w:val="28"/>
        </w:rPr>
        <w:t>97.和平公园绩效目标表</w:t>
      </w:r>
      <w:bookmarkEnd w:id="97"/>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通过项目的开展，将为提高我市绿地率、创建国家级园林城市积蓄条件。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占地面积</w:t>
            </w:r>
          </w:p>
        </w:tc>
        <w:tc>
          <w:tcPr>
            <w:tcW w:w="3544" w:type="dxa"/>
            <w:shd w:val="clear" w:color="auto" w:fill="auto"/>
          </w:tcPr>
          <w:p>
            <w:r>
              <w:rPr>
                <w:rFonts w:hint="eastAsia"/>
              </w:rPr>
              <w:t>工程占地面积</w:t>
            </w:r>
          </w:p>
        </w:tc>
        <w:tc>
          <w:tcPr>
            <w:tcW w:w="1276" w:type="dxa"/>
            <w:shd w:val="clear" w:color="auto" w:fill="auto"/>
          </w:tcPr>
          <w:p>
            <w:r>
              <w:rPr>
                <w:rFonts w:hint="eastAsia"/>
              </w:rPr>
              <w:t>21亩</w:t>
            </w:r>
          </w:p>
        </w:tc>
        <w:tc>
          <w:tcPr>
            <w:tcW w:w="4512" w:type="dxa"/>
            <w:shd w:val="clear" w:color="auto" w:fill="auto"/>
          </w:tcPr>
          <w:p>
            <w:r>
              <w:rPr>
                <w:rFonts w:hint="eastAsia"/>
              </w:rPr>
              <w:t>测绘数据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质量达标率（%）</w:t>
            </w:r>
          </w:p>
        </w:tc>
        <w:tc>
          <w:tcPr>
            <w:tcW w:w="3544" w:type="dxa"/>
            <w:shd w:val="clear" w:color="auto" w:fill="auto"/>
          </w:tcPr>
          <w:p>
            <w:r>
              <w:rPr>
                <w:rFonts w:hint="eastAsia"/>
              </w:rPr>
              <w:t>通过验收工程质量达标率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及时完成率（%）</w:t>
            </w:r>
          </w:p>
        </w:tc>
        <w:tc>
          <w:tcPr>
            <w:tcW w:w="3544" w:type="dxa"/>
            <w:shd w:val="clear" w:color="auto" w:fill="auto"/>
          </w:tcPr>
          <w:p>
            <w:r>
              <w:rPr>
                <w:rFonts w:hint="eastAsia"/>
              </w:rPr>
              <w:t>工程及时完成率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建设项目成本</w:t>
            </w:r>
          </w:p>
        </w:tc>
        <w:tc>
          <w:tcPr>
            <w:tcW w:w="3544" w:type="dxa"/>
            <w:shd w:val="clear" w:color="auto" w:fill="auto"/>
          </w:tcPr>
          <w:p>
            <w:r>
              <w:rPr>
                <w:rFonts w:hint="eastAsia"/>
              </w:rPr>
              <w:t>栽植梅花（一级）单价</w:t>
            </w:r>
          </w:p>
        </w:tc>
        <w:tc>
          <w:tcPr>
            <w:tcW w:w="1276" w:type="dxa"/>
            <w:shd w:val="clear" w:color="auto" w:fill="auto"/>
          </w:tcPr>
          <w:p>
            <w:r>
              <w:rPr>
                <w:rFonts w:hint="eastAsia"/>
              </w:rPr>
              <w:t>≤608元/株</w:t>
            </w:r>
          </w:p>
        </w:tc>
        <w:tc>
          <w:tcPr>
            <w:tcW w:w="4512" w:type="dxa"/>
            <w:shd w:val="clear" w:color="auto" w:fill="auto"/>
          </w:tcPr>
          <w:p>
            <w:r>
              <w:rPr>
                <w:rFonts w:hint="eastAsia"/>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城市环境</w:t>
            </w:r>
          </w:p>
        </w:tc>
        <w:tc>
          <w:tcPr>
            <w:tcW w:w="3544" w:type="dxa"/>
            <w:shd w:val="clear" w:color="auto" w:fill="auto"/>
          </w:tcPr>
          <w:p>
            <w:r>
              <w:rPr>
                <w:rFonts w:hint="eastAsia"/>
              </w:rPr>
              <w:t xml:space="preserve">改善城市环境            </w:t>
            </w:r>
          </w:p>
        </w:tc>
        <w:tc>
          <w:tcPr>
            <w:tcW w:w="1276" w:type="dxa"/>
            <w:shd w:val="clear" w:color="auto" w:fill="auto"/>
          </w:tcPr>
          <w:p>
            <w:r>
              <w:rPr>
                <w:rFonts w:hint="eastAsia"/>
              </w:rPr>
              <w:t>有所改善</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受益对象满意度</w:t>
            </w:r>
          </w:p>
        </w:tc>
        <w:tc>
          <w:tcPr>
            <w:tcW w:w="3544" w:type="dxa"/>
            <w:shd w:val="clear" w:color="auto" w:fill="auto"/>
          </w:tcPr>
          <w:p>
            <w:r>
              <w:rPr>
                <w:rFonts w:hint="eastAsia"/>
              </w:rPr>
              <w:t>反映受益对象满意率情况</w:t>
            </w:r>
          </w:p>
        </w:tc>
        <w:tc>
          <w:tcPr>
            <w:tcW w:w="1276" w:type="dxa"/>
            <w:shd w:val="clear" w:color="auto" w:fill="auto"/>
          </w:tcPr>
          <w:p>
            <w:r>
              <w:rPr>
                <w:rFonts w:hint="eastAsia"/>
              </w:rPr>
              <w:t>≥90%</w:t>
            </w:r>
          </w:p>
        </w:tc>
        <w:tc>
          <w:tcPr>
            <w:tcW w:w="4512" w:type="dxa"/>
            <w:shd w:val="clear" w:color="auto" w:fill="auto"/>
          </w:tcPr>
          <w:p>
            <w:r>
              <w:rPr>
                <w:rFonts w:hint="eastAsia"/>
              </w:rPr>
              <w:t>满意度调查表</w:t>
            </w:r>
          </w:p>
        </w:tc>
      </w:tr>
    </w:tbl>
    <w:p>
      <w:pPr>
        <w:ind w:firstLine="560"/>
        <w:outlineLvl w:val="3"/>
      </w:pPr>
      <w:bookmarkStart w:id="98" w:name="_Toc_4_4_0000000101"/>
      <w:r>
        <w:rPr>
          <w:rFonts w:ascii="方正仿宋_GBK" w:hAnsi="方正仿宋_GBK" w:eastAsia="方正仿宋_GBK" w:cs="方正仿宋_GBK"/>
          <w:color w:val="000000"/>
          <w:sz w:val="28"/>
        </w:rPr>
        <w:t>98.和平街教师楼外墙改造工程绩效目标表</w:t>
      </w:r>
      <w:bookmarkEnd w:id="98"/>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实际完成小区改造住宅楼数量</w:t>
            </w:r>
          </w:p>
        </w:tc>
        <w:tc>
          <w:tcPr>
            <w:tcW w:w="1276" w:type="dxa"/>
            <w:shd w:val="clear" w:color="auto" w:fill="auto"/>
          </w:tcPr>
          <w:p>
            <w:r>
              <w:rPr>
                <w:rFonts w:hint="eastAsia"/>
              </w:rPr>
              <w:t>5栋</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主要材料价格</w:t>
            </w:r>
          </w:p>
        </w:tc>
        <w:tc>
          <w:tcPr>
            <w:tcW w:w="3544" w:type="dxa"/>
            <w:shd w:val="clear" w:color="auto" w:fill="auto"/>
          </w:tcPr>
          <w:p>
            <w:r>
              <w:rPr>
                <w:rFonts w:hint="eastAsia"/>
              </w:rPr>
              <w:t>保温隔热墙面/平米</w:t>
            </w:r>
          </w:p>
        </w:tc>
        <w:tc>
          <w:tcPr>
            <w:tcW w:w="1276" w:type="dxa"/>
            <w:shd w:val="clear" w:color="auto" w:fill="auto"/>
          </w:tcPr>
          <w:p>
            <w:r>
              <w:rPr>
                <w:rFonts w:hint="eastAsia"/>
              </w:rPr>
              <w:t>≤322.97元/平米</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99" w:name="_Toc_4_4_0000000102"/>
      <w:r>
        <w:rPr>
          <w:rFonts w:ascii="方正仿宋_GBK" w:hAnsi="方正仿宋_GBK" w:eastAsia="方正仿宋_GBK" w:cs="方正仿宋_GBK"/>
          <w:color w:val="000000"/>
          <w:sz w:val="28"/>
        </w:rPr>
        <w:t>99.换热站设备维修、保养工程绩效目标表</w:t>
      </w:r>
      <w:bookmarkEnd w:id="99"/>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按时供热，确保供热质量，提高供热服务水平。用户室温达到供、热双方合同确定的室温标准或当地政府主管</w:t>
            </w:r>
            <w:r>
              <w:rPr>
                <w:rFonts w:hint="eastAsia"/>
                <w:lang w:eastAsia="zh-CN"/>
              </w:rPr>
              <w:t>单位</w:t>
            </w:r>
            <w:r>
              <w:t>规定的室温标准，用户室温合格率应在98%以上，用户报修应及时处理，处理及时报修率应达到100%。做到用户室温合格率在98%以上，报修处理率达到100%。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设备改造保养数量（个）</w:t>
            </w:r>
          </w:p>
        </w:tc>
        <w:tc>
          <w:tcPr>
            <w:tcW w:w="3544" w:type="dxa"/>
            <w:shd w:val="clear" w:color="auto" w:fill="auto"/>
          </w:tcPr>
          <w:p>
            <w:r>
              <w:rPr>
                <w:rFonts w:hint="eastAsia"/>
              </w:rPr>
              <w:t>工程改造维修各种设备总个数</w:t>
            </w:r>
          </w:p>
        </w:tc>
        <w:tc>
          <w:tcPr>
            <w:tcW w:w="1276" w:type="dxa"/>
            <w:shd w:val="clear" w:color="auto" w:fill="auto"/>
          </w:tcPr>
          <w:p>
            <w:r>
              <w:rPr>
                <w:rFonts w:hint="eastAsia"/>
              </w:rPr>
              <w:t>≥300个</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工程量完成占总工程量比率（%）</w:t>
            </w:r>
          </w:p>
        </w:tc>
        <w:tc>
          <w:tcPr>
            <w:tcW w:w="3544" w:type="dxa"/>
            <w:shd w:val="clear" w:color="auto" w:fill="auto"/>
          </w:tcPr>
          <w:p>
            <w:r>
              <w:rPr>
                <w:rFonts w:hint="eastAsia"/>
              </w:rPr>
              <w:t>实际完成工程量占计划完成工程量的比率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工程按期完成占总工程比率（%）</w:t>
            </w:r>
          </w:p>
        </w:tc>
        <w:tc>
          <w:tcPr>
            <w:tcW w:w="3544" w:type="dxa"/>
            <w:shd w:val="clear" w:color="auto" w:fill="auto"/>
          </w:tcPr>
          <w:p>
            <w:r>
              <w:rPr>
                <w:rFonts w:hint="eastAsia"/>
              </w:rPr>
              <w:t>按期完成的工程量占总工程量的比率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维修改造设备单位成本（元/个）</w:t>
            </w:r>
          </w:p>
        </w:tc>
        <w:tc>
          <w:tcPr>
            <w:tcW w:w="3544" w:type="dxa"/>
            <w:shd w:val="clear" w:color="auto" w:fill="auto"/>
          </w:tcPr>
          <w:p>
            <w:r>
              <w:rPr>
                <w:rFonts w:hint="eastAsia"/>
              </w:rPr>
              <w:t>维修改造各种设备平均成本</w:t>
            </w:r>
          </w:p>
        </w:tc>
        <w:tc>
          <w:tcPr>
            <w:tcW w:w="1276" w:type="dxa"/>
            <w:shd w:val="clear" w:color="auto" w:fill="auto"/>
          </w:tcPr>
          <w:p>
            <w:r>
              <w:rPr>
                <w:rFonts w:hint="eastAsia"/>
              </w:rPr>
              <w:t>≤9500元/个</w:t>
            </w:r>
          </w:p>
        </w:tc>
        <w:tc>
          <w:tcPr>
            <w:tcW w:w="4512" w:type="dxa"/>
            <w:shd w:val="clear" w:color="auto" w:fill="auto"/>
          </w:tcPr>
          <w:p>
            <w:r>
              <w:rPr>
                <w:rFonts w:hint="eastAsia"/>
              </w:rPr>
              <w:t>三政办（2019）13号《三河市人民政府办公室关于做好2019年度政府投资重点工程项目建设工作的通知》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三政办（2019）13号《三河市人民政府办公室关于做好2019年度政府投资重点工程项目建设工作的通知》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受群众满意度（%）</w:t>
            </w:r>
          </w:p>
        </w:tc>
        <w:tc>
          <w:tcPr>
            <w:tcW w:w="3544" w:type="dxa"/>
            <w:shd w:val="clear" w:color="auto" w:fill="auto"/>
          </w:tcPr>
          <w:p>
            <w:r>
              <w:rPr>
                <w:rFonts w:hint="eastAsia"/>
              </w:rPr>
              <w:t>受益群体调查中，满意和较满意的人数占全部调查人数的比率</w:t>
            </w:r>
          </w:p>
        </w:tc>
        <w:tc>
          <w:tcPr>
            <w:tcW w:w="1276" w:type="dxa"/>
            <w:shd w:val="clear" w:color="auto" w:fill="auto"/>
          </w:tcPr>
          <w:p>
            <w:r>
              <w:rPr>
                <w:rFonts w:hint="eastAsia"/>
              </w:rPr>
              <w:t>≥95%</w:t>
            </w:r>
          </w:p>
        </w:tc>
        <w:tc>
          <w:tcPr>
            <w:tcW w:w="4512" w:type="dxa"/>
            <w:shd w:val="clear" w:color="auto" w:fill="auto"/>
          </w:tcPr>
          <w:p>
            <w:r>
              <w:rPr>
                <w:rFonts w:hint="eastAsia"/>
              </w:rPr>
              <w:t>满意度调查表</w:t>
            </w:r>
          </w:p>
        </w:tc>
      </w:tr>
    </w:tbl>
    <w:p>
      <w:pPr>
        <w:ind w:firstLine="560"/>
        <w:outlineLvl w:val="3"/>
      </w:pPr>
      <w:bookmarkStart w:id="100" w:name="_Toc_4_4_0000000103"/>
      <w:r>
        <w:rPr>
          <w:rFonts w:ascii="方正仿宋_GBK" w:hAnsi="方正仿宋_GBK" w:eastAsia="方正仿宋_GBK" w:cs="方正仿宋_GBK"/>
          <w:color w:val="000000"/>
          <w:sz w:val="28"/>
        </w:rPr>
        <w:t>100.换热站水处理设备技改工程（城建）绩效目标表</w:t>
      </w:r>
      <w:bookmarkEnd w:id="10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通过项目开展，按时供热，确保供热质量，提高供热服务水平。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安装设备数量（个）</w:t>
            </w:r>
          </w:p>
        </w:tc>
        <w:tc>
          <w:tcPr>
            <w:tcW w:w="3544" w:type="dxa"/>
            <w:shd w:val="clear" w:color="auto" w:fill="auto"/>
          </w:tcPr>
          <w:p>
            <w:r>
              <w:rPr>
                <w:rFonts w:hint="eastAsia"/>
              </w:rPr>
              <w:t>工程安装复合型电磁水处理总个数</w:t>
            </w:r>
          </w:p>
        </w:tc>
        <w:tc>
          <w:tcPr>
            <w:tcW w:w="1276" w:type="dxa"/>
            <w:shd w:val="clear" w:color="auto" w:fill="auto"/>
          </w:tcPr>
          <w:p>
            <w:r>
              <w:rPr>
                <w:rFonts w:hint="eastAsia"/>
              </w:rPr>
              <w:t>17套</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工程量完成占总工程量比率（%）</w:t>
            </w:r>
          </w:p>
        </w:tc>
        <w:tc>
          <w:tcPr>
            <w:tcW w:w="3544" w:type="dxa"/>
            <w:shd w:val="clear" w:color="auto" w:fill="auto"/>
          </w:tcPr>
          <w:p>
            <w:r>
              <w:rPr>
                <w:rFonts w:hint="eastAsia"/>
              </w:rPr>
              <w:t>实际完成工程量占计划完成工程量的比率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工程按期完成占总工程比率（%）</w:t>
            </w:r>
          </w:p>
        </w:tc>
        <w:tc>
          <w:tcPr>
            <w:tcW w:w="3544" w:type="dxa"/>
            <w:shd w:val="clear" w:color="auto" w:fill="auto"/>
          </w:tcPr>
          <w:p>
            <w:r>
              <w:rPr>
                <w:rFonts w:hint="eastAsia"/>
              </w:rPr>
              <w:t>按期完成的工程量占总工程量的比率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安装设备单位成本</w:t>
            </w:r>
          </w:p>
        </w:tc>
        <w:tc>
          <w:tcPr>
            <w:tcW w:w="3544" w:type="dxa"/>
            <w:shd w:val="clear" w:color="auto" w:fill="auto"/>
          </w:tcPr>
          <w:p>
            <w:r>
              <w:rPr>
                <w:rFonts w:hint="eastAsia"/>
              </w:rPr>
              <w:t>复合型电磁水处理DN300-325</w:t>
            </w:r>
          </w:p>
        </w:tc>
        <w:tc>
          <w:tcPr>
            <w:tcW w:w="1276" w:type="dxa"/>
            <w:shd w:val="clear" w:color="auto" w:fill="auto"/>
          </w:tcPr>
          <w:p>
            <w:r>
              <w:rPr>
                <w:rFonts w:hint="eastAsia"/>
              </w:rPr>
              <w:t>≤916300元/套</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受群众满意度（%）</w:t>
            </w:r>
          </w:p>
        </w:tc>
        <w:tc>
          <w:tcPr>
            <w:tcW w:w="3544" w:type="dxa"/>
            <w:shd w:val="clear" w:color="auto" w:fill="auto"/>
          </w:tcPr>
          <w:p>
            <w:r>
              <w:rPr>
                <w:rFonts w:hint="eastAsia"/>
              </w:rPr>
              <w:t>受益群体调查中，满意和较满意的人数占全部调查人数的比率</w:t>
            </w:r>
          </w:p>
        </w:tc>
        <w:tc>
          <w:tcPr>
            <w:tcW w:w="1276" w:type="dxa"/>
            <w:shd w:val="clear" w:color="auto" w:fill="auto"/>
          </w:tcPr>
          <w:p>
            <w:r>
              <w:rPr>
                <w:rFonts w:hint="eastAsia"/>
              </w:rPr>
              <w:t>≥95%</w:t>
            </w:r>
          </w:p>
        </w:tc>
        <w:tc>
          <w:tcPr>
            <w:tcW w:w="4512" w:type="dxa"/>
            <w:shd w:val="clear" w:color="auto" w:fill="auto"/>
          </w:tcPr>
          <w:p>
            <w:r>
              <w:rPr>
                <w:rFonts w:hint="eastAsia"/>
              </w:rPr>
              <w:t>满意度调查表</w:t>
            </w:r>
          </w:p>
        </w:tc>
      </w:tr>
    </w:tbl>
    <w:p>
      <w:pPr>
        <w:ind w:firstLine="560"/>
        <w:outlineLvl w:val="3"/>
      </w:pPr>
      <w:bookmarkStart w:id="101" w:name="_Toc_4_4_0000000104"/>
      <w:r>
        <w:rPr>
          <w:rFonts w:ascii="方正仿宋_GBK" w:hAnsi="方正仿宋_GBK" w:eastAsia="方正仿宋_GBK" w:cs="方正仿宋_GBK"/>
          <w:color w:val="000000"/>
          <w:sz w:val="28"/>
        </w:rPr>
        <w:t>101.建兴路北延工程绩效目标表</w:t>
      </w:r>
      <w:bookmarkEnd w:id="101"/>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通过项目的开展，完善三河市的路网结构，发挥交通优势，为三河市经济的发展奠定良好的基础。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新建道路长度</w:t>
            </w:r>
          </w:p>
        </w:tc>
        <w:tc>
          <w:tcPr>
            <w:tcW w:w="1276" w:type="dxa"/>
            <w:shd w:val="clear" w:color="auto" w:fill="auto"/>
          </w:tcPr>
          <w:p>
            <w:r>
              <w:rPr>
                <w:rFonts w:hint="eastAsia"/>
              </w:rPr>
              <w:t>491米</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项目建设成本</w:t>
            </w:r>
          </w:p>
        </w:tc>
        <w:tc>
          <w:tcPr>
            <w:tcW w:w="3544" w:type="dxa"/>
            <w:shd w:val="clear" w:color="auto" w:fill="auto"/>
          </w:tcPr>
          <w:p>
            <w:r>
              <w:rPr>
                <w:rFonts w:hint="eastAsia"/>
              </w:rPr>
              <w:t>盲道砖</w:t>
            </w:r>
          </w:p>
        </w:tc>
        <w:tc>
          <w:tcPr>
            <w:tcW w:w="1276" w:type="dxa"/>
            <w:shd w:val="clear" w:color="auto" w:fill="auto"/>
          </w:tcPr>
          <w:p>
            <w:r>
              <w:rPr>
                <w:rFonts w:hint="eastAsia"/>
              </w:rPr>
              <w:t>≤46元/平米</w:t>
            </w:r>
          </w:p>
        </w:tc>
        <w:tc>
          <w:tcPr>
            <w:tcW w:w="4512" w:type="dxa"/>
            <w:shd w:val="clear" w:color="auto" w:fill="auto"/>
          </w:tcPr>
          <w:p>
            <w:r>
              <w:rPr>
                <w:rFonts w:hint="eastAsia"/>
              </w:rPr>
              <w:t>财政评审报告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有所改善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02" w:name="_Toc_4_4_0000000105"/>
      <w:r>
        <w:rPr>
          <w:rFonts w:ascii="方正仿宋_GBK" w:hAnsi="方正仿宋_GBK" w:eastAsia="方正仿宋_GBK" w:cs="方正仿宋_GBK"/>
          <w:color w:val="000000"/>
          <w:sz w:val="28"/>
        </w:rPr>
        <w:t>102.京秦高速三河西出口郊野公园绩效目标表</w:t>
      </w:r>
      <w:bookmarkEnd w:id="102"/>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通过项目的开展，给久居城市的市民提供更加广阔的休闲、游憩空间。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占地面积</w:t>
            </w:r>
          </w:p>
        </w:tc>
        <w:tc>
          <w:tcPr>
            <w:tcW w:w="3544" w:type="dxa"/>
            <w:shd w:val="clear" w:color="auto" w:fill="auto"/>
          </w:tcPr>
          <w:p>
            <w:r>
              <w:rPr>
                <w:rFonts w:hint="eastAsia"/>
              </w:rPr>
              <w:t>工程占地面积</w:t>
            </w:r>
          </w:p>
        </w:tc>
        <w:tc>
          <w:tcPr>
            <w:tcW w:w="1276" w:type="dxa"/>
            <w:shd w:val="clear" w:color="auto" w:fill="auto"/>
          </w:tcPr>
          <w:p>
            <w:r>
              <w:rPr>
                <w:rFonts w:hint="eastAsia"/>
              </w:rPr>
              <w:t>590亩</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质量达标率（%）</w:t>
            </w:r>
          </w:p>
        </w:tc>
        <w:tc>
          <w:tcPr>
            <w:tcW w:w="3544" w:type="dxa"/>
            <w:shd w:val="clear" w:color="auto" w:fill="auto"/>
          </w:tcPr>
          <w:p>
            <w:r>
              <w:rPr>
                <w:rFonts w:hint="eastAsia"/>
              </w:rPr>
              <w:t>通过验收工程质量达标率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及时完成率（%）</w:t>
            </w:r>
          </w:p>
        </w:tc>
        <w:tc>
          <w:tcPr>
            <w:tcW w:w="3544" w:type="dxa"/>
            <w:shd w:val="clear" w:color="auto" w:fill="auto"/>
          </w:tcPr>
          <w:p>
            <w:r>
              <w:rPr>
                <w:rFonts w:hint="eastAsia"/>
              </w:rPr>
              <w:t>工程及时完成率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透水砖单价</w:t>
            </w:r>
          </w:p>
        </w:tc>
        <w:tc>
          <w:tcPr>
            <w:tcW w:w="3544" w:type="dxa"/>
            <w:shd w:val="clear" w:color="auto" w:fill="auto"/>
          </w:tcPr>
          <w:p>
            <w:r>
              <w:rPr>
                <w:rFonts w:hint="eastAsia"/>
              </w:rPr>
              <w:t>透水砖每平米单价</w:t>
            </w:r>
          </w:p>
        </w:tc>
        <w:tc>
          <w:tcPr>
            <w:tcW w:w="1276" w:type="dxa"/>
            <w:shd w:val="clear" w:color="auto" w:fill="auto"/>
          </w:tcPr>
          <w:p>
            <w:r>
              <w:rPr>
                <w:rFonts w:hint="eastAsia"/>
              </w:rPr>
              <w:t>≤36元</w:t>
            </w:r>
          </w:p>
        </w:tc>
        <w:tc>
          <w:tcPr>
            <w:tcW w:w="4512" w:type="dxa"/>
            <w:shd w:val="clear" w:color="auto" w:fill="auto"/>
          </w:tcPr>
          <w:p>
            <w:r>
              <w:rPr>
                <w:rFonts w:hint="eastAsia"/>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城市环境</w:t>
            </w:r>
          </w:p>
        </w:tc>
        <w:tc>
          <w:tcPr>
            <w:tcW w:w="3544" w:type="dxa"/>
            <w:shd w:val="clear" w:color="auto" w:fill="auto"/>
          </w:tcPr>
          <w:p>
            <w:r>
              <w:rPr>
                <w:rFonts w:hint="eastAsia"/>
              </w:rPr>
              <w:t xml:space="preserve">改善城市环境 </w:t>
            </w:r>
          </w:p>
        </w:tc>
        <w:tc>
          <w:tcPr>
            <w:tcW w:w="1276" w:type="dxa"/>
            <w:shd w:val="clear" w:color="auto" w:fill="auto"/>
          </w:tcPr>
          <w:p>
            <w:r>
              <w:rPr>
                <w:rFonts w:hint="eastAsia"/>
              </w:rPr>
              <w:t>明显改善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受益对象满意度</w:t>
            </w:r>
          </w:p>
        </w:tc>
        <w:tc>
          <w:tcPr>
            <w:tcW w:w="3544" w:type="dxa"/>
            <w:shd w:val="clear" w:color="auto" w:fill="auto"/>
          </w:tcPr>
          <w:p>
            <w:r>
              <w:rPr>
                <w:rFonts w:hint="eastAsia"/>
              </w:rPr>
              <w:t xml:space="preserve">反映受益对象满意率情况                 </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03" w:name="_Toc_4_4_0000000106"/>
      <w:r>
        <w:rPr>
          <w:rFonts w:ascii="方正仿宋_GBK" w:hAnsi="方正仿宋_GBK" w:eastAsia="方正仿宋_GBK" w:cs="方正仿宋_GBK"/>
          <w:color w:val="000000"/>
          <w:sz w:val="28"/>
        </w:rPr>
        <w:t>103.康居小区环境综合改造工程绩效目标表</w:t>
      </w:r>
      <w:bookmarkEnd w:id="103"/>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铺设混凝土路面长度</w:t>
            </w:r>
          </w:p>
        </w:tc>
        <w:tc>
          <w:tcPr>
            <w:tcW w:w="1276" w:type="dxa"/>
            <w:shd w:val="clear" w:color="auto" w:fill="auto"/>
          </w:tcPr>
          <w:p>
            <w:r>
              <w:rPr>
                <w:rFonts w:hint="eastAsia"/>
              </w:rPr>
              <w:t>≥11000平方米</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主要材料价格</w:t>
            </w:r>
          </w:p>
        </w:tc>
        <w:tc>
          <w:tcPr>
            <w:tcW w:w="3544" w:type="dxa"/>
            <w:shd w:val="clear" w:color="auto" w:fill="auto"/>
          </w:tcPr>
          <w:p>
            <w:r>
              <w:rPr>
                <w:rFonts w:hint="eastAsia"/>
              </w:rPr>
              <w:t>太阳能路灯/套</w:t>
            </w:r>
          </w:p>
        </w:tc>
        <w:tc>
          <w:tcPr>
            <w:tcW w:w="1276" w:type="dxa"/>
            <w:shd w:val="clear" w:color="auto" w:fill="auto"/>
          </w:tcPr>
          <w:p>
            <w:r>
              <w:rPr>
                <w:rFonts w:hint="eastAsia"/>
              </w:rPr>
              <w:t>≤2786.17元/套</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04" w:name="_Toc_4_4_0000000107"/>
      <w:r>
        <w:rPr>
          <w:rFonts w:ascii="方正仿宋_GBK" w:hAnsi="方正仿宋_GBK" w:eastAsia="方正仿宋_GBK" w:cs="方正仿宋_GBK"/>
          <w:color w:val="000000"/>
          <w:sz w:val="28"/>
        </w:rPr>
        <w:t>104.密三路南段中修工程绩效目标表</w:t>
      </w:r>
      <w:bookmarkEnd w:id="104"/>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通过项目的开展实现城市美化，改善道路环境等，保障城市经济发展，加快城市建设步伐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中修道路长度</w:t>
            </w:r>
          </w:p>
        </w:tc>
        <w:tc>
          <w:tcPr>
            <w:tcW w:w="1276" w:type="dxa"/>
            <w:shd w:val="clear" w:color="auto" w:fill="auto"/>
          </w:tcPr>
          <w:p>
            <w:r>
              <w:rPr>
                <w:rFonts w:hint="eastAsia"/>
              </w:rPr>
              <w:t>890.71米</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项目建设成本</w:t>
            </w:r>
          </w:p>
        </w:tc>
        <w:tc>
          <w:tcPr>
            <w:tcW w:w="3544" w:type="dxa"/>
            <w:shd w:val="clear" w:color="auto" w:fill="auto"/>
          </w:tcPr>
          <w:p>
            <w:r>
              <w:rPr>
                <w:rFonts w:hint="eastAsia"/>
              </w:rPr>
              <w:t>砖检查井（新建雨水）</w:t>
            </w:r>
          </w:p>
        </w:tc>
        <w:tc>
          <w:tcPr>
            <w:tcW w:w="1276" w:type="dxa"/>
            <w:shd w:val="clear" w:color="auto" w:fill="auto"/>
          </w:tcPr>
          <w:p>
            <w:r>
              <w:rPr>
                <w:rFonts w:hint="eastAsia"/>
              </w:rPr>
              <w:t>≤1583.98元/个</w:t>
            </w:r>
          </w:p>
        </w:tc>
        <w:tc>
          <w:tcPr>
            <w:tcW w:w="4512" w:type="dxa"/>
            <w:shd w:val="clear" w:color="auto" w:fill="auto"/>
          </w:tcPr>
          <w:p>
            <w:r>
              <w:rPr>
                <w:rFonts w:hint="eastAsia"/>
              </w:rPr>
              <w:t>结算书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05" w:name="_Toc_4_4_0000000108"/>
      <w:r>
        <w:rPr>
          <w:rFonts w:ascii="方正仿宋_GBK" w:hAnsi="方正仿宋_GBK" w:eastAsia="方正仿宋_GBK" w:cs="方正仿宋_GBK"/>
          <w:color w:val="000000"/>
          <w:sz w:val="28"/>
        </w:rPr>
        <w:t>105.南北城污水处理厂更换自动在线监测设备运营服务绩效目标表</w:t>
      </w:r>
      <w:bookmarkEnd w:id="105"/>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通过项目的开展，加强污染源排放的实时监测服务，实施污染物排放总量控制，实现环境管理科学化、信息化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实际完成在线监测运营服务的污水厂</w:t>
            </w:r>
          </w:p>
        </w:tc>
        <w:tc>
          <w:tcPr>
            <w:tcW w:w="1276" w:type="dxa"/>
            <w:shd w:val="clear" w:color="auto" w:fill="auto"/>
          </w:tcPr>
          <w:p>
            <w:r>
              <w:rPr>
                <w:rFonts w:hint="eastAsia"/>
              </w:rPr>
              <w:t>2座</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运营成本</w:t>
            </w:r>
          </w:p>
        </w:tc>
        <w:tc>
          <w:tcPr>
            <w:tcW w:w="3544" w:type="dxa"/>
            <w:shd w:val="clear" w:color="auto" w:fill="auto"/>
          </w:tcPr>
          <w:p>
            <w:r>
              <w:rPr>
                <w:rFonts w:hint="eastAsia"/>
              </w:rPr>
              <w:t>每座污水处理厂设备每年维护运营经费</w:t>
            </w:r>
          </w:p>
        </w:tc>
        <w:tc>
          <w:tcPr>
            <w:tcW w:w="1276" w:type="dxa"/>
            <w:shd w:val="clear" w:color="auto" w:fill="auto"/>
          </w:tcPr>
          <w:p>
            <w:r>
              <w:rPr>
                <w:rFonts w:hint="eastAsia"/>
              </w:rPr>
              <w:t>≤33.09元/年</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有所改善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06" w:name="_Toc_4_4_0000000109"/>
      <w:r>
        <w:rPr>
          <w:rFonts w:ascii="方正仿宋_GBK" w:hAnsi="方正仿宋_GBK" w:eastAsia="方正仿宋_GBK" w:cs="方正仿宋_GBK"/>
          <w:color w:val="000000"/>
          <w:sz w:val="28"/>
        </w:rPr>
        <w:t>106.南城老旧小区雨水管网改造工程绩效目标表</w:t>
      </w:r>
      <w:bookmarkEnd w:id="106"/>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实际完成在小区改造数量</w:t>
            </w:r>
          </w:p>
        </w:tc>
        <w:tc>
          <w:tcPr>
            <w:tcW w:w="1276" w:type="dxa"/>
            <w:shd w:val="clear" w:color="auto" w:fill="auto"/>
          </w:tcPr>
          <w:p>
            <w:r>
              <w:rPr>
                <w:rFonts w:hint="eastAsia"/>
              </w:rPr>
              <w:t>9个</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主要材料价格</w:t>
            </w:r>
          </w:p>
        </w:tc>
        <w:tc>
          <w:tcPr>
            <w:tcW w:w="3544" w:type="dxa"/>
            <w:shd w:val="clear" w:color="auto" w:fill="auto"/>
          </w:tcPr>
          <w:p>
            <w:r>
              <w:rPr>
                <w:rFonts w:hint="eastAsia"/>
              </w:rPr>
              <w:t>混凝土管/米</w:t>
            </w:r>
          </w:p>
        </w:tc>
        <w:tc>
          <w:tcPr>
            <w:tcW w:w="1276" w:type="dxa"/>
            <w:shd w:val="clear" w:color="auto" w:fill="auto"/>
          </w:tcPr>
          <w:p>
            <w:r>
              <w:rPr>
                <w:rFonts w:hint="eastAsia"/>
              </w:rPr>
              <w:t>≤222.59元/米</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07" w:name="_Toc_4_4_0000000110"/>
      <w:r>
        <w:rPr>
          <w:rFonts w:ascii="方正仿宋_GBK" w:hAnsi="方正仿宋_GBK" w:eastAsia="方正仿宋_GBK" w:cs="方正仿宋_GBK"/>
          <w:color w:val="000000"/>
          <w:sz w:val="28"/>
        </w:rPr>
        <w:t>107.南城污水处理厂设施改造工程绩效目标表</w:t>
      </w:r>
      <w:bookmarkEnd w:id="107"/>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通过项目的开展实现对城市污水进行综合治理，最大程度消减污染物排放量，缓解城市水环境污染，同时实现再生水资源的有效利用。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污泥回流泵</w:t>
            </w:r>
          </w:p>
        </w:tc>
        <w:tc>
          <w:tcPr>
            <w:tcW w:w="1276" w:type="dxa"/>
            <w:shd w:val="clear" w:color="auto" w:fill="auto"/>
          </w:tcPr>
          <w:p>
            <w:r>
              <w:rPr>
                <w:rFonts w:hint="eastAsia"/>
              </w:rPr>
              <w:t>24台</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污泥回流泵单价</w:t>
            </w:r>
          </w:p>
        </w:tc>
        <w:tc>
          <w:tcPr>
            <w:tcW w:w="3544" w:type="dxa"/>
            <w:shd w:val="clear" w:color="auto" w:fill="auto"/>
          </w:tcPr>
          <w:p>
            <w:r>
              <w:rPr>
                <w:rFonts w:hint="eastAsia"/>
              </w:rPr>
              <w:t>每台泵价格</w:t>
            </w:r>
          </w:p>
        </w:tc>
        <w:tc>
          <w:tcPr>
            <w:tcW w:w="1276" w:type="dxa"/>
            <w:shd w:val="clear" w:color="auto" w:fill="auto"/>
          </w:tcPr>
          <w:p>
            <w:r>
              <w:rPr>
                <w:rFonts w:hint="eastAsia"/>
              </w:rPr>
              <w:t>4300元</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08" w:name="_Toc_4_4_0000000111"/>
      <w:r>
        <w:rPr>
          <w:rFonts w:ascii="方正仿宋_GBK" w:hAnsi="方正仿宋_GBK" w:eastAsia="方正仿宋_GBK" w:cs="方正仿宋_GBK"/>
          <w:color w:val="000000"/>
          <w:sz w:val="28"/>
        </w:rPr>
        <w:t>108.南环路改造工程绩效目标表</w:t>
      </w:r>
      <w:bookmarkEnd w:id="108"/>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通过项目的开展实现城市雨污分流，加强排污排水能力等，保护生态环境，保障城市经济发展，加快城市建设步伐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实际完成的标段数</w:t>
            </w:r>
          </w:p>
        </w:tc>
        <w:tc>
          <w:tcPr>
            <w:tcW w:w="1276" w:type="dxa"/>
            <w:shd w:val="clear" w:color="auto" w:fill="auto"/>
          </w:tcPr>
          <w:p>
            <w:r>
              <w:rPr>
                <w:rFonts w:hint="eastAsia"/>
              </w:rPr>
              <w:t>3个</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项目建设成本</w:t>
            </w:r>
          </w:p>
        </w:tc>
        <w:tc>
          <w:tcPr>
            <w:tcW w:w="3544" w:type="dxa"/>
            <w:shd w:val="clear" w:color="auto" w:fill="auto"/>
          </w:tcPr>
          <w:p>
            <w:r>
              <w:rPr>
                <w:rFonts w:hint="eastAsia"/>
              </w:rPr>
              <w:t>水泥稳定碎石（18cm）</w:t>
            </w:r>
          </w:p>
        </w:tc>
        <w:tc>
          <w:tcPr>
            <w:tcW w:w="1276" w:type="dxa"/>
            <w:shd w:val="clear" w:color="auto" w:fill="auto"/>
          </w:tcPr>
          <w:p>
            <w:r>
              <w:rPr>
                <w:rFonts w:hint="eastAsia"/>
              </w:rPr>
              <w:t>≤60.3元/平方</w:t>
            </w:r>
          </w:p>
        </w:tc>
        <w:tc>
          <w:tcPr>
            <w:tcW w:w="4512" w:type="dxa"/>
            <w:shd w:val="clear" w:color="auto" w:fill="auto"/>
          </w:tcPr>
          <w:p>
            <w:r>
              <w:rPr>
                <w:rFonts w:hint="eastAsia"/>
              </w:rPr>
              <w:t>预算评审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有所改善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09" w:name="_Toc_4_4_0000000112"/>
      <w:r>
        <w:rPr>
          <w:rFonts w:ascii="方正仿宋_GBK" w:hAnsi="方正仿宋_GBK" w:eastAsia="方正仿宋_GBK" w:cs="方正仿宋_GBK"/>
          <w:color w:val="000000"/>
          <w:sz w:val="28"/>
        </w:rPr>
        <w:t>109.南外环及红娘港（三香路至东环路）提升改造及景观建设工程绩效目标表</w:t>
      </w:r>
      <w:bookmarkEnd w:id="109"/>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通过项目的开展实现城市美化，改善道路环境等，保障城市经济发展，加快城市建设步伐。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实际完成改造项目（排水、硬化、亮化等）</w:t>
            </w:r>
          </w:p>
        </w:tc>
        <w:tc>
          <w:tcPr>
            <w:tcW w:w="1276" w:type="dxa"/>
            <w:shd w:val="clear" w:color="auto" w:fill="auto"/>
          </w:tcPr>
          <w:p>
            <w:r>
              <w:rPr>
                <w:rFonts w:hint="eastAsia"/>
              </w:rPr>
              <w:t>≥3项</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重要材料单价</w:t>
            </w:r>
          </w:p>
        </w:tc>
        <w:tc>
          <w:tcPr>
            <w:tcW w:w="3544" w:type="dxa"/>
            <w:shd w:val="clear" w:color="auto" w:fill="auto"/>
          </w:tcPr>
          <w:p>
            <w:r>
              <w:rPr>
                <w:rFonts w:hint="eastAsia"/>
              </w:rPr>
              <w:t>预拌混凝土C20</w:t>
            </w:r>
          </w:p>
        </w:tc>
        <w:tc>
          <w:tcPr>
            <w:tcW w:w="1276" w:type="dxa"/>
            <w:shd w:val="clear" w:color="auto" w:fill="auto"/>
          </w:tcPr>
          <w:p>
            <w:r>
              <w:rPr>
                <w:rFonts w:hint="eastAsia"/>
              </w:rPr>
              <w:t>≤440元/吨</w:t>
            </w:r>
          </w:p>
        </w:tc>
        <w:tc>
          <w:tcPr>
            <w:tcW w:w="4512" w:type="dxa"/>
            <w:shd w:val="clear" w:color="auto" w:fill="auto"/>
          </w:tcPr>
          <w:p>
            <w:r>
              <w:rPr>
                <w:rFonts w:hint="eastAsia"/>
              </w:rPr>
              <w:t>三河市常用建筑安装材料及绿化苗木市场价格信息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10" w:name="_Toc_4_4_0000000113"/>
      <w:r>
        <w:rPr>
          <w:rFonts w:ascii="方正仿宋_GBK" w:hAnsi="方正仿宋_GBK" w:eastAsia="方正仿宋_GBK" w:cs="方正仿宋_GBK"/>
          <w:color w:val="000000"/>
          <w:sz w:val="28"/>
        </w:rPr>
        <w:t>110.南外环绿化景观综合改造工程绩效目标表</w:t>
      </w:r>
      <w:bookmarkEnd w:id="11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通过项目的开展，充分利用有限空间，本着建设生态微循环，提升边界生态效益，形成生态屏障。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提升项目</w:t>
            </w:r>
          </w:p>
        </w:tc>
        <w:tc>
          <w:tcPr>
            <w:tcW w:w="3544" w:type="dxa"/>
            <w:shd w:val="clear" w:color="auto" w:fill="auto"/>
          </w:tcPr>
          <w:p>
            <w:r>
              <w:rPr>
                <w:rFonts w:hint="eastAsia"/>
              </w:rPr>
              <w:t>提升改造路段长度</w:t>
            </w:r>
          </w:p>
        </w:tc>
        <w:tc>
          <w:tcPr>
            <w:tcW w:w="1276" w:type="dxa"/>
            <w:shd w:val="clear" w:color="auto" w:fill="auto"/>
          </w:tcPr>
          <w:p>
            <w:r>
              <w:rPr>
                <w:rFonts w:hint="eastAsia"/>
              </w:rPr>
              <w:t>≥5.7公里</w:t>
            </w:r>
          </w:p>
        </w:tc>
        <w:tc>
          <w:tcPr>
            <w:tcW w:w="4512" w:type="dxa"/>
            <w:shd w:val="clear" w:color="auto" w:fill="auto"/>
          </w:tcPr>
          <w:p>
            <w:r>
              <w:rPr>
                <w:rFonts w:hint="eastAsia"/>
              </w:rPr>
              <w:t xml:space="preserve">施工合同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工程量完成率（%）</w:t>
            </w:r>
          </w:p>
        </w:tc>
        <w:tc>
          <w:tcPr>
            <w:tcW w:w="3544" w:type="dxa"/>
            <w:shd w:val="clear" w:color="auto" w:fill="auto"/>
          </w:tcPr>
          <w:p>
            <w:r>
              <w:rPr>
                <w:rFonts w:hint="eastAsia"/>
              </w:rPr>
              <w:t xml:space="preserve">工程质量完成情况                             </w:t>
            </w:r>
          </w:p>
        </w:tc>
        <w:tc>
          <w:tcPr>
            <w:tcW w:w="1276" w:type="dxa"/>
            <w:shd w:val="clear" w:color="auto" w:fill="auto"/>
          </w:tcPr>
          <w:p>
            <w:r>
              <w:rPr>
                <w:rFonts w:hint="eastAsia"/>
              </w:rPr>
              <w:t>≥100%</w:t>
            </w:r>
          </w:p>
        </w:tc>
        <w:tc>
          <w:tcPr>
            <w:tcW w:w="4512" w:type="dxa"/>
            <w:shd w:val="clear" w:color="auto" w:fill="auto"/>
          </w:tcPr>
          <w:p>
            <w:r>
              <w:rPr>
                <w:rFonts w:hint="eastAsia"/>
              </w:rPr>
              <w:t xml:space="preserve">施工合同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工程按时完成率（%）</w:t>
            </w:r>
          </w:p>
        </w:tc>
        <w:tc>
          <w:tcPr>
            <w:tcW w:w="3544" w:type="dxa"/>
            <w:shd w:val="clear" w:color="auto" w:fill="auto"/>
          </w:tcPr>
          <w:p>
            <w:r>
              <w:rPr>
                <w:rFonts w:hint="eastAsia"/>
              </w:rPr>
              <w:t xml:space="preserve">实际完成工程量占计划完成工程量的比率         </w:t>
            </w:r>
          </w:p>
        </w:tc>
        <w:tc>
          <w:tcPr>
            <w:tcW w:w="1276" w:type="dxa"/>
            <w:shd w:val="clear" w:color="auto" w:fill="auto"/>
          </w:tcPr>
          <w:p>
            <w:r>
              <w:rPr>
                <w:rFonts w:hint="eastAsia"/>
              </w:rPr>
              <w:t>≥100%</w:t>
            </w:r>
          </w:p>
        </w:tc>
        <w:tc>
          <w:tcPr>
            <w:tcW w:w="4512" w:type="dxa"/>
            <w:shd w:val="clear" w:color="auto" w:fill="auto"/>
          </w:tcPr>
          <w:p>
            <w:r>
              <w:rPr>
                <w:rFonts w:hint="eastAsia"/>
              </w:rPr>
              <w:t xml:space="preserve">施工合同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连翘价格</w:t>
            </w:r>
          </w:p>
        </w:tc>
        <w:tc>
          <w:tcPr>
            <w:tcW w:w="3544" w:type="dxa"/>
            <w:shd w:val="clear" w:color="auto" w:fill="auto"/>
          </w:tcPr>
          <w:p>
            <w:r>
              <w:rPr>
                <w:rFonts w:hint="eastAsia"/>
              </w:rPr>
              <w:t>连翘每株价格</w:t>
            </w:r>
          </w:p>
        </w:tc>
        <w:tc>
          <w:tcPr>
            <w:tcW w:w="1276" w:type="dxa"/>
            <w:shd w:val="clear" w:color="auto" w:fill="auto"/>
          </w:tcPr>
          <w:p>
            <w:r>
              <w:rPr>
                <w:rFonts w:hint="eastAsia"/>
              </w:rPr>
              <w:t>≤80元</w:t>
            </w:r>
          </w:p>
        </w:tc>
        <w:tc>
          <w:tcPr>
            <w:tcW w:w="4512" w:type="dxa"/>
            <w:shd w:val="clear" w:color="auto" w:fill="auto"/>
          </w:tcPr>
          <w:p>
            <w:r>
              <w:rPr>
                <w:rFonts w:hint="eastAsia"/>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城市环境</w:t>
            </w:r>
          </w:p>
        </w:tc>
        <w:tc>
          <w:tcPr>
            <w:tcW w:w="3544" w:type="dxa"/>
            <w:shd w:val="clear" w:color="auto" w:fill="auto"/>
          </w:tcPr>
          <w:p>
            <w:r>
              <w:rPr>
                <w:rFonts w:hint="eastAsia"/>
              </w:rPr>
              <w:t>改善城市环境</w:t>
            </w:r>
          </w:p>
        </w:tc>
        <w:tc>
          <w:tcPr>
            <w:tcW w:w="1276" w:type="dxa"/>
            <w:shd w:val="clear" w:color="auto" w:fill="auto"/>
          </w:tcPr>
          <w:p>
            <w:r>
              <w:rPr>
                <w:rFonts w:hint="eastAsia"/>
              </w:rPr>
              <w:t>有所改善</w:t>
            </w:r>
          </w:p>
        </w:tc>
        <w:tc>
          <w:tcPr>
            <w:tcW w:w="4512" w:type="dxa"/>
            <w:shd w:val="clear" w:color="auto" w:fill="auto"/>
          </w:tcPr>
          <w:p>
            <w:r>
              <w:rPr>
                <w:rFonts w:hint="eastAsia"/>
              </w:rPr>
              <w:t xml:space="preserve">施工合同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受益对象满意度</w:t>
            </w:r>
          </w:p>
        </w:tc>
        <w:tc>
          <w:tcPr>
            <w:tcW w:w="3544" w:type="dxa"/>
            <w:shd w:val="clear" w:color="auto" w:fill="auto"/>
          </w:tcPr>
          <w:p>
            <w:r>
              <w:rPr>
                <w:rFonts w:hint="eastAsia"/>
              </w:rPr>
              <w:t xml:space="preserve">反映受益对象满意率情况                  </w:t>
            </w:r>
          </w:p>
        </w:tc>
        <w:tc>
          <w:tcPr>
            <w:tcW w:w="1276" w:type="dxa"/>
            <w:shd w:val="clear" w:color="auto" w:fill="auto"/>
          </w:tcPr>
          <w:p>
            <w:r>
              <w:rPr>
                <w:rFonts w:hint="eastAsia"/>
              </w:rPr>
              <w:t>≥90%</w:t>
            </w:r>
          </w:p>
        </w:tc>
        <w:tc>
          <w:tcPr>
            <w:tcW w:w="4512" w:type="dxa"/>
            <w:shd w:val="clear" w:color="auto" w:fill="auto"/>
          </w:tcPr>
          <w:p>
            <w:r>
              <w:rPr>
                <w:rFonts w:hint="eastAsia"/>
              </w:rPr>
              <w:t>满意度调查表</w:t>
            </w:r>
          </w:p>
        </w:tc>
      </w:tr>
    </w:tbl>
    <w:p>
      <w:pPr>
        <w:ind w:firstLine="560"/>
        <w:outlineLvl w:val="3"/>
      </w:pPr>
      <w:bookmarkStart w:id="111" w:name="_Toc_4_4_0000000114"/>
      <w:r>
        <w:rPr>
          <w:rFonts w:ascii="方正仿宋_GBK" w:hAnsi="方正仿宋_GBK" w:eastAsia="方正仿宋_GBK" w:cs="方正仿宋_GBK"/>
          <w:color w:val="000000"/>
          <w:sz w:val="28"/>
        </w:rPr>
        <w:t>111.南外环一次管网敷设工程绩效目标表</w:t>
      </w:r>
      <w:bookmarkEnd w:id="111"/>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按时供热，确保供热质量，提高供热服务水平。用户室温达到供、热双方合同确定的室温标准或当地政府主管</w:t>
            </w:r>
            <w:r>
              <w:rPr>
                <w:rFonts w:hint="eastAsia"/>
                <w:lang w:eastAsia="zh-CN"/>
              </w:rPr>
              <w:t>单位</w:t>
            </w:r>
            <w:r>
              <w:t>规定的室温标准，用户室温合格率应在98%以上，用户报修应及时处理，处理及时报修率应达到100%。做到用户室温合格率在98%以上，报修处理率达到100%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设备改造保养数量（个）</w:t>
            </w:r>
          </w:p>
        </w:tc>
        <w:tc>
          <w:tcPr>
            <w:tcW w:w="3544" w:type="dxa"/>
            <w:shd w:val="clear" w:color="auto" w:fill="auto"/>
          </w:tcPr>
          <w:p>
            <w:r>
              <w:rPr>
                <w:rFonts w:hint="eastAsia"/>
              </w:rPr>
              <w:t>工程改造维修各种设备总个数</w:t>
            </w:r>
          </w:p>
        </w:tc>
        <w:tc>
          <w:tcPr>
            <w:tcW w:w="1276" w:type="dxa"/>
            <w:shd w:val="clear" w:color="auto" w:fill="auto"/>
          </w:tcPr>
          <w:p>
            <w:r>
              <w:rPr>
                <w:rFonts w:hint="eastAsia"/>
              </w:rPr>
              <w:t>≥300个</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工程量完成占总工程量比率（%）</w:t>
            </w:r>
          </w:p>
        </w:tc>
        <w:tc>
          <w:tcPr>
            <w:tcW w:w="3544" w:type="dxa"/>
            <w:shd w:val="clear" w:color="auto" w:fill="auto"/>
          </w:tcPr>
          <w:p>
            <w:r>
              <w:rPr>
                <w:rFonts w:hint="eastAsia"/>
              </w:rPr>
              <w:t>实际完成工程量占计划完成工程量的比率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工程按期完成占总工程比率（%）</w:t>
            </w:r>
          </w:p>
        </w:tc>
        <w:tc>
          <w:tcPr>
            <w:tcW w:w="3544" w:type="dxa"/>
            <w:shd w:val="clear" w:color="auto" w:fill="auto"/>
          </w:tcPr>
          <w:p>
            <w:r>
              <w:rPr>
                <w:rFonts w:hint="eastAsia"/>
              </w:rPr>
              <w:t>按期完成的工程量占总工程量的比率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维修改造设备单位成本（元/个）</w:t>
            </w:r>
          </w:p>
        </w:tc>
        <w:tc>
          <w:tcPr>
            <w:tcW w:w="3544" w:type="dxa"/>
            <w:shd w:val="clear" w:color="auto" w:fill="auto"/>
          </w:tcPr>
          <w:p>
            <w:r>
              <w:rPr>
                <w:rFonts w:hint="eastAsia"/>
              </w:rPr>
              <w:t>维修改造各种设备平均成本</w:t>
            </w:r>
          </w:p>
        </w:tc>
        <w:tc>
          <w:tcPr>
            <w:tcW w:w="1276" w:type="dxa"/>
            <w:shd w:val="clear" w:color="auto" w:fill="auto"/>
          </w:tcPr>
          <w:p>
            <w:r>
              <w:rPr>
                <w:rFonts w:hint="eastAsia"/>
              </w:rPr>
              <w:t>≤9500元/个</w:t>
            </w:r>
          </w:p>
        </w:tc>
        <w:tc>
          <w:tcPr>
            <w:tcW w:w="4512" w:type="dxa"/>
            <w:shd w:val="clear" w:color="auto" w:fill="auto"/>
          </w:tcPr>
          <w:p>
            <w:r>
              <w:rPr>
                <w:rFonts w:hint="eastAsia"/>
              </w:rPr>
              <w:t>三住建【2020】303号《三河市住房和城乡建设局三河市财政局关于拨付南外环一次网敷设工程第二批建设资金的请示》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三住建【2020】303号《三河市住房和城乡建设局三河市财政局关于拨付南外环一次网敷设工程第二批建设资金的请示》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受群众满意度（%）</w:t>
            </w:r>
          </w:p>
        </w:tc>
        <w:tc>
          <w:tcPr>
            <w:tcW w:w="3544" w:type="dxa"/>
            <w:shd w:val="clear" w:color="auto" w:fill="auto"/>
          </w:tcPr>
          <w:p>
            <w:r>
              <w:rPr>
                <w:rFonts w:hint="eastAsia"/>
              </w:rPr>
              <w:t>受益群体调查中，满意和较满意的人数占全部调查人数的比率</w:t>
            </w:r>
          </w:p>
        </w:tc>
        <w:tc>
          <w:tcPr>
            <w:tcW w:w="1276" w:type="dxa"/>
            <w:shd w:val="clear" w:color="auto" w:fill="auto"/>
          </w:tcPr>
          <w:p>
            <w:r>
              <w:rPr>
                <w:rFonts w:hint="eastAsia"/>
              </w:rPr>
              <w:t>≥95%</w:t>
            </w:r>
          </w:p>
        </w:tc>
        <w:tc>
          <w:tcPr>
            <w:tcW w:w="4512" w:type="dxa"/>
            <w:shd w:val="clear" w:color="auto" w:fill="auto"/>
          </w:tcPr>
          <w:p>
            <w:r>
              <w:rPr>
                <w:rFonts w:hint="eastAsia"/>
              </w:rPr>
              <w:t>满意度调查表</w:t>
            </w:r>
          </w:p>
        </w:tc>
      </w:tr>
    </w:tbl>
    <w:p>
      <w:pPr>
        <w:ind w:firstLine="560"/>
        <w:outlineLvl w:val="3"/>
      </w:pPr>
      <w:bookmarkStart w:id="112" w:name="_Toc_4_4_0000000115"/>
      <w:r>
        <w:rPr>
          <w:rFonts w:ascii="方正仿宋_GBK" w:hAnsi="方正仿宋_GBK" w:eastAsia="方正仿宋_GBK" w:cs="方正仿宋_GBK"/>
          <w:color w:val="000000"/>
          <w:sz w:val="28"/>
        </w:rPr>
        <w:t>112.农村基础设施建设工程绩效目标表</w:t>
      </w:r>
      <w:bookmarkEnd w:id="112"/>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通过项目的开展，提升土地利用效益，改善居民居住条件，提升民众幸福感和获得感。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新建安置房数量</w:t>
            </w:r>
          </w:p>
        </w:tc>
        <w:tc>
          <w:tcPr>
            <w:tcW w:w="1276" w:type="dxa"/>
            <w:shd w:val="clear" w:color="auto" w:fill="auto"/>
          </w:tcPr>
          <w:p>
            <w:r>
              <w:rPr>
                <w:rFonts w:hint="eastAsia"/>
              </w:rPr>
              <w:t>≥2100套</w:t>
            </w:r>
          </w:p>
        </w:tc>
        <w:tc>
          <w:tcPr>
            <w:tcW w:w="4512" w:type="dxa"/>
            <w:shd w:val="clear" w:color="auto" w:fill="auto"/>
          </w:tcPr>
          <w:p>
            <w:r>
              <w:rPr>
                <w:rFonts w:hint="eastAsia"/>
              </w:rPr>
              <w:t>《三河市高楼镇孤山片区开发建设项目实施方案》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《三河市高楼镇孤山片区开发建设项目实施方案》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《三河市高楼镇孤山片区开发建设项目实施方案》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主要材料单价</w:t>
            </w:r>
          </w:p>
        </w:tc>
        <w:tc>
          <w:tcPr>
            <w:tcW w:w="3544" w:type="dxa"/>
            <w:shd w:val="clear" w:color="auto" w:fill="auto"/>
          </w:tcPr>
          <w:p>
            <w:r>
              <w:rPr>
                <w:rFonts w:hint="eastAsia"/>
              </w:rPr>
              <w:t>水泥</w:t>
            </w:r>
          </w:p>
        </w:tc>
        <w:tc>
          <w:tcPr>
            <w:tcW w:w="1276" w:type="dxa"/>
            <w:shd w:val="clear" w:color="auto" w:fill="auto"/>
          </w:tcPr>
          <w:p>
            <w:r>
              <w:rPr>
                <w:rFonts w:hint="eastAsia"/>
              </w:rPr>
              <w:t>≤710元/吨</w:t>
            </w:r>
          </w:p>
        </w:tc>
        <w:tc>
          <w:tcPr>
            <w:tcW w:w="4512" w:type="dxa"/>
            <w:shd w:val="clear" w:color="auto" w:fill="auto"/>
          </w:tcPr>
          <w:p>
            <w:r>
              <w:rPr>
                <w:rFonts w:hint="eastAsia"/>
              </w:rPr>
              <w:t>《三河市常用建筑安装材料及绿化苗木市场价格信息》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居住条件改善</w:t>
            </w:r>
          </w:p>
        </w:tc>
        <w:tc>
          <w:tcPr>
            <w:tcW w:w="3544" w:type="dxa"/>
            <w:shd w:val="clear" w:color="auto" w:fill="auto"/>
          </w:tcPr>
          <w:p>
            <w:r>
              <w:rPr>
                <w:rFonts w:hint="eastAsia"/>
              </w:rPr>
              <w:t>对城中村居民居住条件的改善情况</w:t>
            </w:r>
          </w:p>
        </w:tc>
        <w:tc>
          <w:tcPr>
            <w:tcW w:w="1276" w:type="dxa"/>
            <w:shd w:val="clear" w:color="auto" w:fill="auto"/>
          </w:tcPr>
          <w:p>
            <w:r>
              <w:rPr>
                <w:rFonts w:hint="eastAsia"/>
              </w:rPr>
              <w:t>明显改善</w:t>
            </w:r>
          </w:p>
        </w:tc>
        <w:tc>
          <w:tcPr>
            <w:tcW w:w="4512" w:type="dxa"/>
            <w:shd w:val="clear" w:color="auto" w:fill="auto"/>
          </w:tcPr>
          <w:p>
            <w:r>
              <w:rPr>
                <w:rFonts w:hint="eastAsia"/>
              </w:rPr>
              <w:t>《三河市高楼镇孤山片区开发建设项目实施方案》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13" w:name="_Toc_4_4_0000000116"/>
      <w:r>
        <w:rPr>
          <w:rFonts w:ascii="方正仿宋_GBK" w:hAnsi="方正仿宋_GBK" w:eastAsia="方正仿宋_GBK" w:cs="方正仿宋_GBK"/>
          <w:color w:val="000000"/>
          <w:sz w:val="28"/>
        </w:rPr>
        <w:t>113.农贸市场专项规划绩效目标表</w:t>
      </w:r>
      <w:bookmarkEnd w:id="113"/>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通过项目的开展实现农贸市场规划，构建科学合理、层次清晰的农贸市场体系，优化农贸市场布局，改善市容市貌。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规划服务人口数</w:t>
            </w:r>
          </w:p>
        </w:tc>
        <w:tc>
          <w:tcPr>
            <w:tcW w:w="3544" w:type="dxa"/>
            <w:shd w:val="clear" w:color="auto" w:fill="auto"/>
          </w:tcPr>
          <w:p>
            <w:r>
              <w:rPr>
                <w:rFonts w:hint="eastAsia"/>
              </w:rPr>
              <w:t>规划服务人口数</w:t>
            </w:r>
          </w:p>
        </w:tc>
        <w:tc>
          <w:tcPr>
            <w:tcW w:w="1276" w:type="dxa"/>
            <w:shd w:val="clear" w:color="auto" w:fill="auto"/>
          </w:tcPr>
          <w:p>
            <w:r>
              <w:rPr>
                <w:rFonts w:hint="eastAsia"/>
              </w:rPr>
              <w:t>32.5万人</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专业规划收费标准</w:t>
            </w:r>
          </w:p>
        </w:tc>
        <w:tc>
          <w:tcPr>
            <w:tcW w:w="3544" w:type="dxa"/>
            <w:shd w:val="clear" w:color="auto" w:fill="auto"/>
          </w:tcPr>
          <w:p>
            <w:r>
              <w:rPr>
                <w:rFonts w:hint="eastAsia"/>
              </w:rPr>
              <w:t>专业规划收费标准</w:t>
            </w:r>
          </w:p>
        </w:tc>
        <w:tc>
          <w:tcPr>
            <w:tcW w:w="1276" w:type="dxa"/>
            <w:shd w:val="clear" w:color="auto" w:fill="auto"/>
          </w:tcPr>
          <w:p>
            <w:r>
              <w:rPr>
                <w:rFonts w:hint="eastAsia"/>
              </w:rPr>
              <w:t>≤1万元/万人</w:t>
            </w:r>
          </w:p>
        </w:tc>
        <w:tc>
          <w:tcPr>
            <w:tcW w:w="4512" w:type="dxa"/>
            <w:shd w:val="clear" w:color="auto" w:fill="auto"/>
          </w:tcPr>
          <w:p>
            <w:r>
              <w:rPr>
                <w:rFonts w:hint="eastAsia"/>
              </w:rPr>
              <w:t>《城市规划设计收费指导意见》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促进城市发展</w:t>
            </w:r>
          </w:p>
        </w:tc>
        <w:tc>
          <w:tcPr>
            <w:tcW w:w="3544" w:type="dxa"/>
            <w:shd w:val="clear" w:color="auto" w:fill="auto"/>
          </w:tcPr>
          <w:p>
            <w:r>
              <w:rPr>
                <w:rFonts w:hint="eastAsia"/>
              </w:rPr>
              <w:t>促进城市规划发展的情况</w:t>
            </w:r>
          </w:p>
        </w:tc>
        <w:tc>
          <w:tcPr>
            <w:tcW w:w="1276" w:type="dxa"/>
            <w:shd w:val="clear" w:color="auto" w:fill="auto"/>
          </w:tcPr>
          <w:p>
            <w:r>
              <w:rPr>
                <w:rFonts w:hint="eastAsia"/>
              </w:rPr>
              <w:t>明显促进</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14" w:name="_Toc_4_4_0000000117"/>
      <w:r>
        <w:rPr>
          <w:rFonts w:ascii="方正仿宋_GBK" w:hAnsi="方正仿宋_GBK" w:eastAsia="方正仿宋_GBK" w:cs="方正仿宋_GBK"/>
          <w:color w:val="000000"/>
          <w:sz w:val="28"/>
        </w:rPr>
        <w:t>114.磐石园小区雨污分流改造工程绩效目标表</w:t>
      </w:r>
      <w:bookmarkEnd w:id="114"/>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铺设排水管道</w:t>
            </w:r>
          </w:p>
        </w:tc>
        <w:tc>
          <w:tcPr>
            <w:tcW w:w="1276" w:type="dxa"/>
            <w:shd w:val="clear" w:color="auto" w:fill="auto"/>
          </w:tcPr>
          <w:p>
            <w:r>
              <w:rPr>
                <w:rFonts w:hint="eastAsia"/>
              </w:rPr>
              <w:t>892延米</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主要材料价格</w:t>
            </w:r>
          </w:p>
        </w:tc>
        <w:tc>
          <w:tcPr>
            <w:tcW w:w="3544" w:type="dxa"/>
            <w:shd w:val="clear" w:color="auto" w:fill="auto"/>
          </w:tcPr>
          <w:p>
            <w:r>
              <w:rPr>
                <w:rFonts w:hint="eastAsia"/>
              </w:rPr>
              <w:t>排水管/米</w:t>
            </w:r>
          </w:p>
        </w:tc>
        <w:tc>
          <w:tcPr>
            <w:tcW w:w="1276" w:type="dxa"/>
            <w:shd w:val="clear" w:color="auto" w:fill="auto"/>
          </w:tcPr>
          <w:p>
            <w:r>
              <w:rPr>
                <w:rFonts w:hint="eastAsia"/>
              </w:rPr>
              <w:t>≤265元/米</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15" w:name="_Toc_4_4_0000000118"/>
      <w:r>
        <w:rPr>
          <w:rFonts w:ascii="方正仿宋_GBK" w:hAnsi="方正仿宋_GBK" w:eastAsia="方正仿宋_GBK" w:cs="方正仿宋_GBK"/>
          <w:color w:val="000000"/>
          <w:sz w:val="28"/>
        </w:rPr>
        <w:t>115.人防视频会议系统高清化改造和市县视频会议系统联通建设项目绩效目标表</w:t>
      </w:r>
      <w:bookmarkEnd w:id="115"/>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pStyle w:val="14"/>
            </w:pPr>
            <w:r>
              <w:t>完成人防视频会议系统高清化改造，真正实现省市县三级视频会议系统高清化互联互通。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硬件采购数量</w:t>
            </w:r>
          </w:p>
        </w:tc>
        <w:tc>
          <w:tcPr>
            <w:tcW w:w="3544" w:type="dxa"/>
            <w:shd w:val="clear" w:color="auto" w:fill="auto"/>
          </w:tcPr>
          <w:p>
            <w:r>
              <w:rPr>
                <w:rFonts w:hint="eastAsia"/>
              </w:rPr>
              <w:t>当年采购硬件的数量</w:t>
            </w:r>
          </w:p>
        </w:tc>
        <w:tc>
          <w:tcPr>
            <w:tcW w:w="1276" w:type="dxa"/>
            <w:shd w:val="clear" w:color="auto" w:fill="auto"/>
          </w:tcPr>
          <w:p>
            <w:r>
              <w:rPr>
                <w:rFonts w:hint="eastAsia"/>
              </w:rPr>
              <w:t>5项</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实际验收合格的工程量占总工程量的比率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工程按照合同签订完成率</w:t>
            </w:r>
          </w:p>
        </w:tc>
        <w:tc>
          <w:tcPr>
            <w:tcW w:w="1276" w:type="dxa"/>
            <w:shd w:val="clear" w:color="auto" w:fill="auto"/>
          </w:tcPr>
          <w:p>
            <w:r>
              <w:rPr>
                <w:rFonts w:hint="eastAsia"/>
              </w:rPr>
              <w:t>100%</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主要设备价格</w:t>
            </w:r>
          </w:p>
        </w:tc>
        <w:tc>
          <w:tcPr>
            <w:tcW w:w="3544" w:type="dxa"/>
            <w:shd w:val="clear" w:color="auto" w:fill="auto"/>
          </w:tcPr>
          <w:p>
            <w:r>
              <w:rPr>
                <w:rFonts w:hint="eastAsia"/>
              </w:rPr>
              <w:t>高清显示系统</w:t>
            </w:r>
          </w:p>
        </w:tc>
        <w:tc>
          <w:tcPr>
            <w:tcW w:w="1276" w:type="dxa"/>
            <w:shd w:val="clear" w:color="auto" w:fill="auto"/>
          </w:tcPr>
          <w:p>
            <w:r>
              <w:rPr>
                <w:rFonts w:hint="eastAsia"/>
              </w:rPr>
              <w:t>≤166万元/套</w:t>
            </w:r>
          </w:p>
        </w:tc>
        <w:tc>
          <w:tcPr>
            <w:tcW w:w="4512" w:type="dxa"/>
            <w:shd w:val="clear" w:color="auto" w:fill="auto"/>
          </w:tcPr>
          <w:p>
            <w:r>
              <w:rPr>
                <w:rFonts w:hint="eastAsia"/>
              </w:rP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综合利用情况</w:t>
            </w:r>
          </w:p>
        </w:tc>
        <w:tc>
          <w:tcPr>
            <w:tcW w:w="3544" w:type="dxa"/>
            <w:shd w:val="clear" w:color="auto" w:fill="auto"/>
          </w:tcPr>
          <w:p>
            <w:r>
              <w:rPr>
                <w:rFonts w:hint="eastAsia"/>
              </w:rPr>
              <w:t>省市县三级互联互通高清化利用情况</w:t>
            </w:r>
          </w:p>
        </w:tc>
        <w:tc>
          <w:tcPr>
            <w:tcW w:w="1276" w:type="dxa"/>
            <w:shd w:val="clear" w:color="auto" w:fill="auto"/>
          </w:tcPr>
          <w:p>
            <w:r>
              <w:rPr>
                <w:rFonts w:hint="eastAsia"/>
              </w:rPr>
              <w:t>有所改善</w:t>
            </w:r>
          </w:p>
        </w:tc>
        <w:tc>
          <w:tcPr>
            <w:tcW w:w="4512" w:type="dxa"/>
            <w:shd w:val="clear" w:color="auto" w:fill="auto"/>
          </w:tcPr>
          <w:p>
            <w:r>
              <w:rPr>
                <w:rFonts w:hint="eastAsia"/>
              </w:rPr>
              <w:t>冀人防信字{2017）32号河北省人民防空办公室关于切实做好人防视频会议系统高清化改造和市县视频会议系统联通建设的通知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受益对象满意度</w:t>
            </w:r>
          </w:p>
        </w:tc>
        <w:tc>
          <w:tcPr>
            <w:tcW w:w="3544" w:type="dxa"/>
            <w:shd w:val="clear" w:color="auto" w:fill="auto"/>
          </w:tcPr>
          <w:p>
            <w:r>
              <w:rPr>
                <w:rFonts w:hint="eastAsia"/>
              </w:rPr>
              <w:t>反映受益对象满意率情况</w:t>
            </w:r>
          </w:p>
        </w:tc>
        <w:tc>
          <w:tcPr>
            <w:tcW w:w="1276" w:type="dxa"/>
            <w:shd w:val="clear" w:color="auto" w:fill="auto"/>
          </w:tcPr>
          <w:p>
            <w:r>
              <w:rPr>
                <w:rFonts w:hint="eastAsia"/>
              </w:rPr>
              <w:t>≥90%</w:t>
            </w:r>
          </w:p>
        </w:tc>
        <w:tc>
          <w:tcPr>
            <w:tcW w:w="4512" w:type="dxa"/>
            <w:shd w:val="clear" w:color="auto" w:fill="auto"/>
          </w:tcPr>
          <w:p>
            <w:r>
              <w:rPr>
                <w:rFonts w:hint="eastAsia"/>
              </w:rPr>
              <w:t>《满意度调查报告》</w:t>
            </w:r>
          </w:p>
        </w:tc>
      </w:tr>
    </w:tbl>
    <w:p>
      <w:pPr>
        <w:ind w:firstLine="560"/>
        <w:outlineLvl w:val="3"/>
      </w:pPr>
      <w:bookmarkStart w:id="116" w:name="_Toc_4_4_0000000119"/>
      <w:r>
        <w:rPr>
          <w:rFonts w:ascii="方正仿宋_GBK" w:hAnsi="方正仿宋_GBK" w:eastAsia="方正仿宋_GBK" w:cs="方正仿宋_GBK"/>
          <w:color w:val="000000"/>
          <w:sz w:val="28"/>
        </w:rPr>
        <w:t>116.人民公园及沿河两岸综合提升工程绩效目标表</w:t>
      </w:r>
      <w:bookmarkEnd w:id="116"/>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通过项目的开展，打造新时代的健康理念。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修筑塑胶健康跑道</w:t>
            </w:r>
          </w:p>
        </w:tc>
        <w:tc>
          <w:tcPr>
            <w:tcW w:w="3544" w:type="dxa"/>
            <w:shd w:val="clear" w:color="auto" w:fill="auto"/>
          </w:tcPr>
          <w:p>
            <w:r>
              <w:rPr>
                <w:rFonts w:hint="eastAsia"/>
              </w:rPr>
              <w:t xml:space="preserve">修筑塑胶健康跑道 </w:t>
            </w:r>
          </w:p>
        </w:tc>
        <w:tc>
          <w:tcPr>
            <w:tcW w:w="1276" w:type="dxa"/>
            <w:shd w:val="clear" w:color="auto" w:fill="auto"/>
          </w:tcPr>
          <w:p>
            <w:r>
              <w:rPr>
                <w:rFonts w:hint="eastAsia"/>
              </w:rPr>
              <w:t>2940平方米</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工程质量达标率（%）</w:t>
            </w:r>
          </w:p>
        </w:tc>
        <w:tc>
          <w:tcPr>
            <w:tcW w:w="3544" w:type="dxa"/>
            <w:shd w:val="clear" w:color="auto" w:fill="auto"/>
          </w:tcPr>
          <w:p>
            <w:r>
              <w:rPr>
                <w:rFonts w:hint="eastAsia"/>
              </w:rPr>
              <w:t>通过验收的工作质量比率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工程及时完成率（%）</w:t>
            </w:r>
          </w:p>
        </w:tc>
        <w:tc>
          <w:tcPr>
            <w:tcW w:w="3544" w:type="dxa"/>
            <w:shd w:val="clear" w:color="auto" w:fill="auto"/>
          </w:tcPr>
          <w:p>
            <w:r>
              <w:rPr>
                <w:rFonts w:hint="eastAsia"/>
              </w:rPr>
              <w:t>工程完成占计划完成率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建设项目成本</w:t>
            </w:r>
          </w:p>
        </w:tc>
        <w:tc>
          <w:tcPr>
            <w:tcW w:w="3544" w:type="dxa"/>
            <w:shd w:val="clear" w:color="auto" w:fill="auto"/>
          </w:tcPr>
          <w:p>
            <w:r>
              <w:rPr>
                <w:rFonts w:hint="eastAsia"/>
              </w:rPr>
              <w:t>改造公厕单价</w:t>
            </w:r>
          </w:p>
        </w:tc>
        <w:tc>
          <w:tcPr>
            <w:tcW w:w="1276" w:type="dxa"/>
            <w:shd w:val="clear" w:color="auto" w:fill="auto"/>
          </w:tcPr>
          <w:p>
            <w:r>
              <w:rPr>
                <w:rFonts w:hint="eastAsia"/>
              </w:rPr>
              <w:t>≤25万元/座</w:t>
            </w:r>
          </w:p>
        </w:tc>
        <w:tc>
          <w:tcPr>
            <w:tcW w:w="4512" w:type="dxa"/>
            <w:shd w:val="clear" w:color="auto" w:fill="auto"/>
          </w:tcPr>
          <w:p>
            <w:r>
              <w:rPr>
                <w:rFonts w:hint="eastAsia"/>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城市环境</w:t>
            </w:r>
          </w:p>
        </w:tc>
        <w:tc>
          <w:tcPr>
            <w:tcW w:w="3544" w:type="dxa"/>
            <w:shd w:val="clear" w:color="auto" w:fill="auto"/>
          </w:tcPr>
          <w:p>
            <w:r>
              <w:rPr>
                <w:rFonts w:hint="eastAsia"/>
              </w:rPr>
              <w:t xml:space="preserve">改善城市环境   </w:t>
            </w:r>
          </w:p>
        </w:tc>
        <w:tc>
          <w:tcPr>
            <w:tcW w:w="1276" w:type="dxa"/>
            <w:shd w:val="clear" w:color="auto" w:fill="auto"/>
          </w:tcPr>
          <w:p>
            <w:r>
              <w:rPr>
                <w:rFonts w:hint="eastAsia"/>
              </w:rPr>
              <w:t>有所改善</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受益对象满意度</w:t>
            </w:r>
          </w:p>
        </w:tc>
        <w:tc>
          <w:tcPr>
            <w:tcW w:w="3544" w:type="dxa"/>
            <w:shd w:val="clear" w:color="auto" w:fill="auto"/>
          </w:tcPr>
          <w:p>
            <w:r>
              <w:rPr>
                <w:rFonts w:hint="eastAsia"/>
              </w:rPr>
              <w:t xml:space="preserve">反映受益对象满意率情况 </w:t>
            </w:r>
          </w:p>
        </w:tc>
        <w:tc>
          <w:tcPr>
            <w:tcW w:w="1276" w:type="dxa"/>
            <w:shd w:val="clear" w:color="auto" w:fill="auto"/>
          </w:tcPr>
          <w:p>
            <w:r>
              <w:rPr>
                <w:rFonts w:hint="eastAsia"/>
              </w:rPr>
              <w:t>≥90%</w:t>
            </w:r>
          </w:p>
        </w:tc>
        <w:tc>
          <w:tcPr>
            <w:tcW w:w="4512" w:type="dxa"/>
            <w:shd w:val="clear" w:color="auto" w:fill="auto"/>
          </w:tcPr>
          <w:p>
            <w:r>
              <w:rPr>
                <w:rFonts w:hint="eastAsia"/>
              </w:rPr>
              <w:t>满意度调查表</w:t>
            </w:r>
          </w:p>
        </w:tc>
      </w:tr>
    </w:tbl>
    <w:p>
      <w:pPr>
        <w:ind w:firstLine="560"/>
        <w:outlineLvl w:val="3"/>
      </w:pPr>
      <w:bookmarkStart w:id="117" w:name="_Toc_4_4_0000000120"/>
      <w:r>
        <w:rPr>
          <w:rFonts w:ascii="方正仿宋_GBK" w:hAnsi="方正仿宋_GBK" w:eastAsia="方正仿宋_GBK" w:cs="方正仿宋_GBK"/>
          <w:color w:val="000000"/>
          <w:sz w:val="28"/>
        </w:rPr>
        <w:t>117.三河市“城市家具”整体设计方案绩效目标表</w:t>
      </w:r>
      <w:bookmarkEnd w:id="117"/>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政府购买服务，聘请第三方机构对三河市”城市家具“规划设计进行编制服务，以体现三河文化、现代城市特色、人文生态理念为目标，进行系统化、集成化的规划设计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”城市家具“规划设计</w:t>
            </w:r>
          </w:p>
        </w:tc>
        <w:tc>
          <w:tcPr>
            <w:tcW w:w="3544" w:type="dxa"/>
            <w:shd w:val="clear" w:color="auto" w:fill="auto"/>
          </w:tcPr>
          <w:p>
            <w:r>
              <w:rPr>
                <w:rFonts w:hint="eastAsia"/>
              </w:rPr>
              <w:t>考察《城市家具》规划方案个数</w:t>
            </w:r>
          </w:p>
        </w:tc>
        <w:tc>
          <w:tcPr>
            <w:tcW w:w="1276" w:type="dxa"/>
            <w:shd w:val="clear" w:color="auto" w:fill="auto"/>
          </w:tcPr>
          <w:p>
            <w:r>
              <w:rPr>
                <w:rFonts w:hint="eastAsia"/>
              </w:rPr>
              <w:t>1个</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审核通过率</w:t>
            </w:r>
          </w:p>
        </w:tc>
        <w:tc>
          <w:tcPr>
            <w:tcW w:w="3544" w:type="dxa"/>
            <w:shd w:val="clear" w:color="auto" w:fill="auto"/>
          </w:tcPr>
          <w:p>
            <w:r>
              <w:rPr>
                <w:rFonts w:hint="eastAsia"/>
              </w:rPr>
              <w:t>考察《城市家具》规划方案审核通过情况</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编制服务及时性</w:t>
            </w:r>
          </w:p>
        </w:tc>
        <w:tc>
          <w:tcPr>
            <w:tcW w:w="3544" w:type="dxa"/>
            <w:shd w:val="clear" w:color="auto" w:fill="auto"/>
          </w:tcPr>
          <w:p>
            <w:r>
              <w:rPr>
                <w:rFonts w:hint="eastAsia"/>
              </w:rPr>
              <w:t>编制服务是否及时</w:t>
            </w:r>
          </w:p>
        </w:tc>
        <w:tc>
          <w:tcPr>
            <w:tcW w:w="1276" w:type="dxa"/>
            <w:shd w:val="clear" w:color="auto" w:fill="auto"/>
          </w:tcPr>
          <w:p>
            <w:r>
              <w:rPr>
                <w:rFonts w:hint="eastAsia"/>
              </w:rPr>
              <w:t>及时</w:t>
            </w:r>
          </w:p>
        </w:tc>
        <w:tc>
          <w:tcPr>
            <w:tcW w:w="4512" w:type="dxa"/>
            <w:shd w:val="clear" w:color="auto" w:fill="auto"/>
          </w:tcPr>
          <w:p>
            <w:r>
              <w:rPr>
                <w:rFonts w:hint="eastAsia"/>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服务费</w:t>
            </w:r>
          </w:p>
        </w:tc>
        <w:tc>
          <w:tcPr>
            <w:tcW w:w="3544" w:type="dxa"/>
            <w:shd w:val="clear" w:color="auto" w:fill="auto"/>
          </w:tcPr>
          <w:p>
            <w:r>
              <w:rPr>
                <w:rFonts w:hint="eastAsia"/>
              </w:rPr>
              <w:t>规划编制费用</w:t>
            </w:r>
          </w:p>
        </w:tc>
        <w:tc>
          <w:tcPr>
            <w:tcW w:w="1276" w:type="dxa"/>
            <w:shd w:val="clear" w:color="auto" w:fill="auto"/>
          </w:tcPr>
          <w:p>
            <w:r>
              <w:rPr>
                <w:rFonts w:hint="eastAsia"/>
              </w:rPr>
              <w:t>≤0.8万元/公顷</w:t>
            </w:r>
          </w:p>
        </w:tc>
        <w:tc>
          <w:tcPr>
            <w:tcW w:w="4512" w:type="dxa"/>
            <w:shd w:val="clear" w:color="auto" w:fill="auto"/>
          </w:tcPr>
          <w:p>
            <w:r>
              <w:rPr>
                <w:rFonts w:hint="eastAsia"/>
              </w:rPr>
              <w:t>城市规划设计费指导意见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公共服务水平提升情况</w:t>
            </w:r>
          </w:p>
        </w:tc>
        <w:tc>
          <w:tcPr>
            <w:tcW w:w="3544" w:type="dxa"/>
            <w:shd w:val="clear" w:color="auto" w:fill="auto"/>
          </w:tcPr>
          <w:p>
            <w:r>
              <w:rPr>
                <w:rFonts w:hint="eastAsia"/>
              </w:rPr>
              <w:t>项目实施对公共服务水平提升情况</w:t>
            </w:r>
          </w:p>
        </w:tc>
        <w:tc>
          <w:tcPr>
            <w:tcW w:w="1276" w:type="dxa"/>
            <w:shd w:val="clear" w:color="auto" w:fill="auto"/>
          </w:tcPr>
          <w:p>
            <w:r>
              <w:rPr>
                <w:rFonts w:hint="eastAsia"/>
              </w:rPr>
              <w:t>有所提升</w:t>
            </w:r>
          </w:p>
        </w:tc>
        <w:tc>
          <w:tcPr>
            <w:tcW w:w="4512" w:type="dxa"/>
            <w:shd w:val="clear" w:color="auto" w:fill="auto"/>
          </w:tcPr>
          <w:p>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考察群众对”城市家具“规划设计满意度情况</w:t>
            </w:r>
          </w:p>
        </w:tc>
        <w:tc>
          <w:tcPr>
            <w:tcW w:w="3544" w:type="dxa"/>
            <w:shd w:val="clear" w:color="auto" w:fill="auto"/>
          </w:tcPr>
          <w:p>
            <w:r>
              <w:rPr>
                <w:rFonts w:hint="eastAsia"/>
              </w:rPr>
              <w:t>考察群众对”城市家具“满意度情况</w:t>
            </w:r>
          </w:p>
        </w:tc>
        <w:tc>
          <w:tcPr>
            <w:tcW w:w="1276" w:type="dxa"/>
            <w:shd w:val="clear" w:color="auto" w:fill="auto"/>
          </w:tcPr>
          <w:p>
            <w:r>
              <w:rPr>
                <w:rFonts w:hint="eastAsia"/>
              </w:rPr>
              <w:t>≥95%</w:t>
            </w:r>
          </w:p>
        </w:tc>
        <w:tc>
          <w:tcPr>
            <w:tcW w:w="4512" w:type="dxa"/>
            <w:shd w:val="clear" w:color="auto" w:fill="auto"/>
          </w:tcPr>
          <w:p>
            <w:r>
              <w:rPr>
                <w:rFonts w:hint="eastAsia"/>
              </w:rPr>
              <w:t>问卷调查</w:t>
            </w:r>
          </w:p>
        </w:tc>
      </w:tr>
    </w:tbl>
    <w:p>
      <w:pPr>
        <w:ind w:firstLine="560"/>
        <w:outlineLvl w:val="3"/>
      </w:pPr>
      <w:bookmarkStart w:id="118" w:name="_Toc_4_4_0000000121"/>
      <w:r>
        <w:rPr>
          <w:rFonts w:ascii="方正仿宋_GBK" w:hAnsi="方正仿宋_GBK" w:eastAsia="方正仿宋_GBK" w:cs="方正仿宋_GBK"/>
          <w:color w:val="000000"/>
          <w:sz w:val="28"/>
        </w:rPr>
        <w:t>118.三河市城区污水处理厂及配套管网工程EPC总承包招标项目绩效目标表</w:t>
      </w:r>
      <w:bookmarkEnd w:id="118"/>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通过项目的开展实现对城市污水进行综合治理，最大程度消减污染物排放量，缓解城市水环境污染，同时实现再生水资源的有效利用。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安装MBR膜</w:t>
            </w:r>
          </w:p>
        </w:tc>
        <w:tc>
          <w:tcPr>
            <w:tcW w:w="1276" w:type="dxa"/>
            <w:shd w:val="clear" w:color="auto" w:fill="auto"/>
          </w:tcPr>
          <w:p>
            <w:r>
              <w:rPr>
                <w:rFonts w:hint="eastAsia"/>
              </w:rPr>
              <w:t>8组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设备安装成本</w:t>
            </w:r>
          </w:p>
        </w:tc>
        <w:tc>
          <w:tcPr>
            <w:tcW w:w="3544" w:type="dxa"/>
            <w:shd w:val="clear" w:color="auto" w:fill="auto"/>
          </w:tcPr>
          <w:p>
            <w:r>
              <w:rPr>
                <w:rFonts w:hint="eastAsia"/>
              </w:rPr>
              <w:t>MBR膜采购成本</w:t>
            </w:r>
          </w:p>
        </w:tc>
        <w:tc>
          <w:tcPr>
            <w:tcW w:w="1276" w:type="dxa"/>
            <w:shd w:val="clear" w:color="auto" w:fill="auto"/>
          </w:tcPr>
          <w:p>
            <w:r>
              <w:rPr>
                <w:rFonts w:hint="eastAsia"/>
              </w:rPr>
              <w:t>≤410.71元/组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有所改善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19" w:name="_Toc_4_4_0000000122"/>
      <w:r>
        <w:rPr>
          <w:rFonts w:ascii="方正仿宋_GBK" w:hAnsi="方正仿宋_GBK" w:eastAsia="方正仿宋_GBK" w:cs="方正仿宋_GBK"/>
          <w:color w:val="000000"/>
          <w:sz w:val="28"/>
        </w:rPr>
        <w:t>119.生活垃圾焚烧发电PPP项目第三方建设绩效监管服务绩效目标表</w:t>
      </w:r>
      <w:bookmarkEnd w:id="119"/>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完成对三河市生活垃圾焚烧发电厂建设期的监管及考核。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完城焚烧发电厂监督管理量</w:t>
            </w:r>
          </w:p>
        </w:tc>
        <w:tc>
          <w:tcPr>
            <w:tcW w:w="1276" w:type="dxa"/>
            <w:shd w:val="clear" w:color="auto" w:fill="auto"/>
          </w:tcPr>
          <w:p>
            <w:r>
              <w:rPr>
                <w:rFonts w:hint="eastAsia"/>
              </w:rPr>
              <w:t>1座</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项目建设成本</w:t>
            </w:r>
          </w:p>
        </w:tc>
        <w:tc>
          <w:tcPr>
            <w:tcW w:w="3544" w:type="dxa"/>
            <w:shd w:val="clear" w:color="auto" w:fill="auto"/>
          </w:tcPr>
          <w:p>
            <w:r>
              <w:rPr>
                <w:rFonts w:hint="eastAsia"/>
              </w:rPr>
              <w:t>实际中标金额</w:t>
            </w:r>
          </w:p>
        </w:tc>
        <w:tc>
          <w:tcPr>
            <w:tcW w:w="1276" w:type="dxa"/>
            <w:shd w:val="clear" w:color="auto" w:fill="auto"/>
          </w:tcPr>
          <w:p>
            <w:r>
              <w:rPr>
                <w:rFonts w:hint="eastAsia"/>
              </w:rPr>
              <w:t>100万元</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完善城市基础设施</w:t>
            </w:r>
          </w:p>
        </w:tc>
        <w:tc>
          <w:tcPr>
            <w:tcW w:w="3544" w:type="dxa"/>
            <w:shd w:val="clear" w:color="auto" w:fill="auto"/>
          </w:tcPr>
          <w:p>
            <w:r>
              <w:rPr>
                <w:rFonts w:hint="eastAsia"/>
              </w:rPr>
              <w:t>完善生活垃圾焚烧发电厂建设情况</w:t>
            </w:r>
          </w:p>
        </w:tc>
        <w:tc>
          <w:tcPr>
            <w:tcW w:w="1276" w:type="dxa"/>
            <w:shd w:val="clear" w:color="auto" w:fill="auto"/>
          </w:tcPr>
          <w:p>
            <w:r>
              <w:rPr>
                <w:rFonts w:hint="eastAsia"/>
              </w:rPr>
              <w:t>有所完善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20" w:name="_Toc_4_4_0000000123"/>
      <w:r>
        <w:rPr>
          <w:rFonts w:ascii="方正仿宋_GBK" w:hAnsi="方正仿宋_GBK" w:eastAsia="方正仿宋_GBK" w:cs="方正仿宋_GBK"/>
          <w:color w:val="000000"/>
          <w:sz w:val="28"/>
        </w:rPr>
        <w:t>120.世纪花苑小区雨水管网改造工程绩效目标表</w:t>
      </w:r>
      <w:bookmarkEnd w:id="12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铺设排水管道延米数</w:t>
            </w:r>
          </w:p>
        </w:tc>
        <w:tc>
          <w:tcPr>
            <w:tcW w:w="1276" w:type="dxa"/>
            <w:shd w:val="clear" w:color="auto" w:fill="auto"/>
          </w:tcPr>
          <w:p>
            <w:r>
              <w:rPr>
                <w:rFonts w:hint="eastAsia"/>
              </w:rPr>
              <w:t>1769延米</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主要材料价格</w:t>
            </w:r>
          </w:p>
        </w:tc>
        <w:tc>
          <w:tcPr>
            <w:tcW w:w="3544" w:type="dxa"/>
            <w:shd w:val="clear" w:color="auto" w:fill="auto"/>
          </w:tcPr>
          <w:p>
            <w:r>
              <w:rPr>
                <w:rFonts w:hint="eastAsia"/>
              </w:rPr>
              <w:t>水泥混凝土</w:t>
            </w:r>
          </w:p>
        </w:tc>
        <w:tc>
          <w:tcPr>
            <w:tcW w:w="1276" w:type="dxa"/>
            <w:shd w:val="clear" w:color="auto" w:fill="auto"/>
          </w:tcPr>
          <w:p>
            <w:r>
              <w:rPr>
                <w:rFonts w:hint="eastAsia"/>
              </w:rPr>
              <w:t>≤16.81万元</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21" w:name="_Toc_4_4_0000000124"/>
      <w:r>
        <w:rPr>
          <w:rFonts w:ascii="方正仿宋_GBK" w:hAnsi="方正仿宋_GBK" w:eastAsia="方正仿宋_GBK" w:cs="方正仿宋_GBK"/>
          <w:color w:val="000000"/>
          <w:sz w:val="28"/>
        </w:rPr>
        <w:t>121.水污染防治应急工程经费绩效目标表</w:t>
      </w:r>
      <w:bookmarkEnd w:id="121"/>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通过项目的开展完成城市污水处理，解决保障房污水直排泃河的水污染问题，改善河道环境，美化生活环境。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维护保养期限</w:t>
            </w:r>
          </w:p>
        </w:tc>
        <w:tc>
          <w:tcPr>
            <w:tcW w:w="3544" w:type="dxa"/>
            <w:shd w:val="clear" w:color="auto" w:fill="auto"/>
          </w:tcPr>
          <w:p>
            <w:r>
              <w:rPr>
                <w:rFonts w:hint="eastAsia"/>
              </w:rPr>
              <w:t>设备验收合格后，维护保养时间</w:t>
            </w:r>
          </w:p>
        </w:tc>
        <w:tc>
          <w:tcPr>
            <w:tcW w:w="1276" w:type="dxa"/>
            <w:shd w:val="clear" w:color="auto" w:fill="auto"/>
          </w:tcPr>
          <w:p>
            <w:r>
              <w:rPr>
                <w:rFonts w:hint="eastAsia"/>
              </w:rPr>
              <w:t>5年</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每年养护期满支付成本</w:t>
            </w:r>
          </w:p>
        </w:tc>
        <w:tc>
          <w:tcPr>
            <w:tcW w:w="3544" w:type="dxa"/>
            <w:shd w:val="clear" w:color="auto" w:fill="auto"/>
          </w:tcPr>
          <w:p>
            <w:r>
              <w:rPr>
                <w:rFonts w:hint="eastAsia"/>
              </w:rPr>
              <w:t>每年养护期满后支付金额</w:t>
            </w:r>
          </w:p>
        </w:tc>
        <w:tc>
          <w:tcPr>
            <w:tcW w:w="1276" w:type="dxa"/>
            <w:shd w:val="clear" w:color="auto" w:fill="auto"/>
          </w:tcPr>
          <w:p>
            <w:r>
              <w:rPr>
                <w:rFonts w:hint="eastAsia"/>
              </w:rPr>
              <w:t>6.36万元</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22" w:name="_Toc_4_4_0000000125"/>
      <w:r>
        <w:rPr>
          <w:rFonts w:ascii="方正仿宋_GBK" w:hAnsi="方正仿宋_GBK" w:eastAsia="方正仿宋_GBK" w:cs="方正仿宋_GBK"/>
          <w:color w:val="000000"/>
          <w:sz w:val="28"/>
        </w:rPr>
        <w:t>122.水务局小区雨水管网改造工程绩效目标表</w:t>
      </w:r>
      <w:bookmarkEnd w:id="122"/>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铺设排水管道数量</w:t>
            </w:r>
          </w:p>
        </w:tc>
        <w:tc>
          <w:tcPr>
            <w:tcW w:w="1276" w:type="dxa"/>
            <w:shd w:val="clear" w:color="auto" w:fill="auto"/>
          </w:tcPr>
          <w:p>
            <w:r>
              <w:rPr>
                <w:rFonts w:hint="eastAsia"/>
              </w:rPr>
              <w:t>830延米</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主要材料价格</w:t>
            </w:r>
          </w:p>
        </w:tc>
        <w:tc>
          <w:tcPr>
            <w:tcW w:w="3544" w:type="dxa"/>
            <w:shd w:val="clear" w:color="auto" w:fill="auto"/>
          </w:tcPr>
          <w:p>
            <w:r>
              <w:rPr>
                <w:rFonts w:hint="eastAsia"/>
              </w:rPr>
              <w:t>沥青混凝土/平米</w:t>
            </w:r>
          </w:p>
        </w:tc>
        <w:tc>
          <w:tcPr>
            <w:tcW w:w="1276" w:type="dxa"/>
            <w:shd w:val="clear" w:color="auto" w:fill="auto"/>
          </w:tcPr>
          <w:p>
            <w:r>
              <w:rPr>
                <w:rFonts w:hint="eastAsia"/>
              </w:rPr>
              <w:t>≤289.73元/平方米</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23" w:name="_Toc_4_4_0000000126"/>
      <w:r>
        <w:rPr>
          <w:rFonts w:ascii="方正仿宋_GBK" w:hAnsi="方正仿宋_GBK" w:eastAsia="方正仿宋_GBK" w:cs="方正仿宋_GBK"/>
          <w:color w:val="000000"/>
          <w:sz w:val="28"/>
        </w:rPr>
        <w:t>123.四季阳光小区雨水管网改造工程绩效目标表</w:t>
      </w:r>
      <w:bookmarkEnd w:id="123"/>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需铺设排水管道数量</w:t>
            </w:r>
          </w:p>
        </w:tc>
        <w:tc>
          <w:tcPr>
            <w:tcW w:w="1276" w:type="dxa"/>
            <w:shd w:val="clear" w:color="auto" w:fill="auto"/>
          </w:tcPr>
          <w:p>
            <w:r>
              <w:rPr>
                <w:rFonts w:hint="eastAsia"/>
              </w:rPr>
              <w:t>4554延米</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主要材料单价</w:t>
            </w:r>
          </w:p>
        </w:tc>
        <w:tc>
          <w:tcPr>
            <w:tcW w:w="3544" w:type="dxa"/>
            <w:shd w:val="clear" w:color="auto" w:fill="auto"/>
          </w:tcPr>
          <w:p>
            <w:r>
              <w:rPr>
                <w:rFonts w:hint="eastAsia"/>
              </w:rPr>
              <w:t>管道</w:t>
            </w:r>
          </w:p>
        </w:tc>
        <w:tc>
          <w:tcPr>
            <w:tcW w:w="1276" w:type="dxa"/>
            <w:shd w:val="clear" w:color="auto" w:fill="auto"/>
          </w:tcPr>
          <w:p>
            <w:r>
              <w:rPr>
                <w:rFonts w:hint="eastAsia"/>
              </w:rPr>
              <w:t>≤108.61万元</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24" w:name="_Toc_4_4_0000000127"/>
      <w:r>
        <w:rPr>
          <w:rFonts w:ascii="方正仿宋_GBK" w:hAnsi="方正仿宋_GBK" w:eastAsia="方正仿宋_GBK" w:cs="方正仿宋_GBK"/>
          <w:color w:val="000000"/>
          <w:sz w:val="28"/>
        </w:rPr>
        <w:t>124.桃园外墙住宅楼改造工程绩效目标表</w:t>
      </w:r>
      <w:bookmarkEnd w:id="124"/>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实际完成小区改造住宅楼外墙数量</w:t>
            </w:r>
          </w:p>
        </w:tc>
        <w:tc>
          <w:tcPr>
            <w:tcW w:w="1276" w:type="dxa"/>
            <w:shd w:val="clear" w:color="auto" w:fill="auto"/>
          </w:tcPr>
          <w:p>
            <w:r>
              <w:rPr>
                <w:rFonts w:hint="eastAsia"/>
              </w:rPr>
              <w:t>8栋</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主要材料价格</w:t>
            </w:r>
          </w:p>
        </w:tc>
        <w:tc>
          <w:tcPr>
            <w:tcW w:w="3544" w:type="dxa"/>
            <w:shd w:val="clear" w:color="auto" w:fill="auto"/>
          </w:tcPr>
          <w:p>
            <w:r>
              <w:rPr>
                <w:rFonts w:hint="eastAsia"/>
              </w:rPr>
              <w:t>保温隔热墙面/平米</w:t>
            </w:r>
          </w:p>
        </w:tc>
        <w:tc>
          <w:tcPr>
            <w:tcW w:w="1276" w:type="dxa"/>
            <w:shd w:val="clear" w:color="auto" w:fill="auto"/>
          </w:tcPr>
          <w:p>
            <w:r>
              <w:rPr>
                <w:rFonts w:hint="eastAsia"/>
              </w:rPr>
              <w:t>≤290.87元/平米</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25" w:name="_Toc_4_4_0000000128"/>
      <w:r>
        <w:rPr>
          <w:rFonts w:ascii="方正仿宋_GBK" w:hAnsi="方正仿宋_GBK" w:eastAsia="方正仿宋_GBK" w:cs="方正仿宋_GBK"/>
          <w:color w:val="000000"/>
          <w:sz w:val="28"/>
        </w:rPr>
        <w:t>125.提前下达2022年部分中央财政城镇保障性安居工程补助资金（冀财综[2021]31号</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绩效目标表</w:t>
      </w:r>
      <w:bookmarkEnd w:id="125"/>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完成2022年城镇老旧小区改造工程数量</w:t>
            </w:r>
          </w:p>
        </w:tc>
        <w:tc>
          <w:tcPr>
            <w:tcW w:w="1276" w:type="dxa"/>
            <w:shd w:val="clear" w:color="auto" w:fill="auto"/>
          </w:tcPr>
          <w:p>
            <w:r>
              <w:rPr>
                <w:rFonts w:hint="eastAsia"/>
              </w:rPr>
              <w:t>49个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4mmSBS改性沥青防水卷材单位材料成本</w:t>
            </w:r>
          </w:p>
        </w:tc>
        <w:tc>
          <w:tcPr>
            <w:tcW w:w="1276" w:type="dxa"/>
            <w:shd w:val="clear" w:color="auto" w:fill="auto"/>
          </w:tcPr>
          <w:p>
            <w:r>
              <w:rPr>
                <w:rFonts w:hint="eastAsia"/>
              </w:rPr>
              <w:t>≤26元/㎡</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126" w:name="_Toc_4_4_0000000129"/>
      <w:r>
        <w:rPr>
          <w:rFonts w:ascii="方正仿宋_GBK" w:hAnsi="方正仿宋_GBK" w:eastAsia="方正仿宋_GBK" w:cs="方正仿宋_GBK"/>
          <w:color w:val="000000"/>
          <w:sz w:val="28"/>
        </w:rPr>
        <w:t>126.提前下达2022年部分中央财政城镇保障性安居工程补助资金（冀财综[2021]31号）绩效目标表</w:t>
      </w:r>
      <w:bookmarkEnd w:id="126"/>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通过项目的开展，提升土地利用效益，改善居民居住条件，提升民众幸福感和获得感。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新建安置房数量</w:t>
            </w:r>
          </w:p>
        </w:tc>
        <w:tc>
          <w:tcPr>
            <w:tcW w:w="1276" w:type="dxa"/>
            <w:shd w:val="clear" w:color="auto" w:fill="auto"/>
          </w:tcPr>
          <w:p>
            <w:r>
              <w:rPr>
                <w:rFonts w:hint="eastAsia"/>
              </w:rPr>
              <w:t>≥2100套</w:t>
            </w:r>
          </w:p>
        </w:tc>
        <w:tc>
          <w:tcPr>
            <w:tcW w:w="4512" w:type="dxa"/>
            <w:shd w:val="clear" w:color="auto" w:fill="auto"/>
          </w:tcPr>
          <w:p>
            <w:r>
              <w:rPr>
                <w:rFonts w:hint="eastAsia"/>
              </w:rPr>
              <w:t>《三河市高楼镇孤山片区开发建设项目实施方案》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《三河市高楼镇孤山片区开发建设项目实施方案》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《三河市高楼镇孤山片区开发建设项目实施方案》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主要材料单价</w:t>
            </w:r>
          </w:p>
        </w:tc>
        <w:tc>
          <w:tcPr>
            <w:tcW w:w="3544" w:type="dxa"/>
            <w:shd w:val="clear" w:color="auto" w:fill="auto"/>
          </w:tcPr>
          <w:p>
            <w:r>
              <w:rPr>
                <w:rFonts w:hint="eastAsia"/>
              </w:rPr>
              <w:t>水泥</w:t>
            </w:r>
          </w:p>
        </w:tc>
        <w:tc>
          <w:tcPr>
            <w:tcW w:w="1276" w:type="dxa"/>
            <w:shd w:val="clear" w:color="auto" w:fill="auto"/>
          </w:tcPr>
          <w:p>
            <w:r>
              <w:rPr>
                <w:rFonts w:hint="eastAsia"/>
              </w:rPr>
              <w:t>≤710元/吨</w:t>
            </w:r>
          </w:p>
        </w:tc>
        <w:tc>
          <w:tcPr>
            <w:tcW w:w="4512" w:type="dxa"/>
            <w:shd w:val="clear" w:color="auto" w:fill="auto"/>
          </w:tcPr>
          <w:p>
            <w:r>
              <w:rPr>
                <w:rFonts w:hint="eastAsia"/>
              </w:rPr>
              <w:t>《三河市常用建筑安装材料及绿化苗木市场价格信息》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居住条件改善</w:t>
            </w:r>
          </w:p>
        </w:tc>
        <w:tc>
          <w:tcPr>
            <w:tcW w:w="3544" w:type="dxa"/>
            <w:shd w:val="clear" w:color="auto" w:fill="auto"/>
          </w:tcPr>
          <w:p>
            <w:r>
              <w:rPr>
                <w:rFonts w:hint="eastAsia"/>
              </w:rPr>
              <w:t>对城中村居民居住条件的改善情况</w:t>
            </w:r>
          </w:p>
        </w:tc>
        <w:tc>
          <w:tcPr>
            <w:tcW w:w="1276" w:type="dxa"/>
            <w:shd w:val="clear" w:color="auto" w:fill="auto"/>
          </w:tcPr>
          <w:p>
            <w:r>
              <w:rPr>
                <w:rFonts w:hint="eastAsia"/>
              </w:rPr>
              <w:t>明显改善</w:t>
            </w:r>
          </w:p>
        </w:tc>
        <w:tc>
          <w:tcPr>
            <w:tcW w:w="4512" w:type="dxa"/>
            <w:shd w:val="clear" w:color="auto" w:fill="auto"/>
          </w:tcPr>
          <w:p>
            <w:r>
              <w:rPr>
                <w:rFonts w:hint="eastAsia"/>
              </w:rPr>
              <w:t>《三河市高楼镇孤山片区开发建设项目实施方案》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27" w:name="_Toc_4_4_0000000130"/>
      <w:r>
        <w:rPr>
          <w:rFonts w:ascii="方正仿宋_GBK" w:hAnsi="方正仿宋_GBK" w:eastAsia="方正仿宋_GBK" w:cs="方正仿宋_GBK"/>
          <w:color w:val="000000"/>
          <w:sz w:val="28"/>
        </w:rPr>
        <w:t>127.提前下达2022年省级城镇保障性安居工程补助资金 冀财综【2021】33号绩效目标表</w:t>
      </w:r>
      <w:bookmarkEnd w:id="127"/>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通过项目的开展，提升土地利用效益，改善居民居住条件，提升民众幸福感和获得感。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新建安置房数量</w:t>
            </w:r>
          </w:p>
        </w:tc>
        <w:tc>
          <w:tcPr>
            <w:tcW w:w="1276" w:type="dxa"/>
            <w:shd w:val="clear" w:color="auto" w:fill="auto"/>
          </w:tcPr>
          <w:p>
            <w:r>
              <w:rPr>
                <w:rFonts w:hint="eastAsia"/>
              </w:rPr>
              <w:t>≥2100套</w:t>
            </w:r>
          </w:p>
        </w:tc>
        <w:tc>
          <w:tcPr>
            <w:tcW w:w="4512" w:type="dxa"/>
            <w:shd w:val="clear" w:color="auto" w:fill="auto"/>
          </w:tcPr>
          <w:p>
            <w:r>
              <w:rPr>
                <w:rFonts w:hint="eastAsia"/>
              </w:rPr>
              <w:t>《三河市高楼镇孤山片区开发建设项目实施方案》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《三河市高楼镇孤山片区开发建设项目实施方案》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《三河市高楼镇孤山片区开发建设项目实施方案》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主要材料单价</w:t>
            </w:r>
          </w:p>
        </w:tc>
        <w:tc>
          <w:tcPr>
            <w:tcW w:w="3544" w:type="dxa"/>
            <w:shd w:val="clear" w:color="auto" w:fill="auto"/>
          </w:tcPr>
          <w:p>
            <w:r>
              <w:rPr>
                <w:rFonts w:hint="eastAsia"/>
              </w:rPr>
              <w:t>水泥</w:t>
            </w:r>
          </w:p>
        </w:tc>
        <w:tc>
          <w:tcPr>
            <w:tcW w:w="1276" w:type="dxa"/>
            <w:shd w:val="clear" w:color="auto" w:fill="auto"/>
          </w:tcPr>
          <w:p>
            <w:r>
              <w:rPr>
                <w:rFonts w:hint="eastAsia"/>
              </w:rPr>
              <w:t>≤710元/吨</w:t>
            </w:r>
          </w:p>
        </w:tc>
        <w:tc>
          <w:tcPr>
            <w:tcW w:w="4512" w:type="dxa"/>
            <w:shd w:val="clear" w:color="auto" w:fill="auto"/>
          </w:tcPr>
          <w:p>
            <w:r>
              <w:rPr>
                <w:rFonts w:hint="eastAsia"/>
              </w:rPr>
              <w:t>《三河市常用建筑安装材料及绿化苗木市场价格信息》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居住条件改善</w:t>
            </w:r>
          </w:p>
        </w:tc>
        <w:tc>
          <w:tcPr>
            <w:tcW w:w="3544" w:type="dxa"/>
            <w:shd w:val="clear" w:color="auto" w:fill="auto"/>
          </w:tcPr>
          <w:p>
            <w:r>
              <w:rPr>
                <w:rFonts w:hint="eastAsia"/>
              </w:rPr>
              <w:t>对城中村居民居住条件的改善情况</w:t>
            </w:r>
          </w:p>
        </w:tc>
        <w:tc>
          <w:tcPr>
            <w:tcW w:w="1276" w:type="dxa"/>
            <w:shd w:val="clear" w:color="auto" w:fill="auto"/>
          </w:tcPr>
          <w:p>
            <w:r>
              <w:rPr>
                <w:rFonts w:hint="eastAsia"/>
              </w:rPr>
              <w:t>明显改善</w:t>
            </w:r>
          </w:p>
        </w:tc>
        <w:tc>
          <w:tcPr>
            <w:tcW w:w="4512" w:type="dxa"/>
            <w:shd w:val="clear" w:color="auto" w:fill="auto"/>
          </w:tcPr>
          <w:p>
            <w:r>
              <w:rPr>
                <w:rFonts w:hint="eastAsia"/>
              </w:rPr>
              <w:t>《三河市高楼镇孤山片区开发建设项目实施方案》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28" w:name="_Toc_4_4_0000000131"/>
      <w:r>
        <w:rPr>
          <w:rFonts w:ascii="方正仿宋_GBK" w:hAnsi="方正仿宋_GBK" w:eastAsia="方正仿宋_GBK" w:cs="方正仿宋_GBK"/>
          <w:color w:val="000000"/>
          <w:sz w:val="28"/>
        </w:rPr>
        <w:t>128.提前下达2022年省级老旧小区改造奖励资金（冀财建[2021]232号）绩效目标表</w:t>
      </w:r>
      <w:bookmarkEnd w:id="128"/>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通过项目的开展，使老旧小区居民的居住条件和生活品质得到明显提升，切实增强群众的获得感、幸福感、安全感。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完成改造工程数量</w:t>
            </w:r>
          </w:p>
        </w:tc>
        <w:tc>
          <w:tcPr>
            <w:tcW w:w="3544" w:type="dxa"/>
            <w:shd w:val="clear" w:color="auto" w:fill="auto"/>
          </w:tcPr>
          <w:p>
            <w:r>
              <w:rPr>
                <w:rFonts w:hint="eastAsia"/>
              </w:rPr>
              <w:t>完成2022年迎宾北路街道步行街和学院社区老旧小区建筑主体改造工程数量</w:t>
            </w:r>
          </w:p>
        </w:tc>
        <w:tc>
          <w:tcPr>
            <w:tcW w:w="1276" w:type="dxa"/>
            <w:shd w:val="clear" w:color="auto" w:fill="auto"/>
          </w:tcPr>
          <w:p>
            <w:r>
              <w:rPr>
                <w:rFonts w:hint="eastAsia"/>
              </w:rPr>
              <w:t>6个</w:t>
            </w:r>
          </w:p>
        </w:tc>
        <w:tc>
          <w:tcPr>
            <w:tcW w:w="4512" w:type="dxa"/>
            <w:shd w:val="clear" w:color="auto" w:fill="auto"/>
          </w:tcPr>
          <w:p>
            <w:r>
              <w:rPr>
                <w:rFonts w:hint="eastAsia"/>
              </w:rPr>
              <w:t>《三河市住房和城乡建设局关于申请提前办理2022年城镇老旧小区改造项目立项手续的请示》及批复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工程验收合格率（%）</w:t>
            </w:r>
          </w:p>
        </w:tc>
        <w:tc>
          <w:tcPr>
            <w:tcW w:w="3544" w:type="dxa"/>
            <w:shd w:val="clear" w:color="auto" w:fill="auto"/>
          </w:tcPr>
          <w:p>
            <w:r>
              <w:rPr>
                <w:rFonts w:hint="eastAsia"/>
              </w:rPr>
              <w:t>通过验收的工程量占总工程量的比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工程按期完成率（%）</w:t>
            </w:r>
          </w:p>
        </w:tc>
        <w:tc>
          <w:tcPr>
            <w:tcW w:w="3544" w:type="dxa"/>
            <w:shd w:val="clear" w:color="auto" w:fill="auto"/>
          </w:tcPr>
          <w:p>
            <w:r>
              <w:rPr>
                <w:rFonts w:hint="eastAsia"/>
              </w:rPr>
              <w:t>按期完成的工程量占总工程量的比</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成本控制</w:t>
            </w:r>
          </w:p>
        </w:tc>
        <w:tc>
          <w:tcPr>
            <w:tcW w:w="3544" w:type="dxa"/>
            <w:shd w:val="clear" w:color="auto" w:fill="auto"/>
          </w:tcPr>
          <w:p>
            <w:r>
              <w:rPr>
                <w:rFonts w:hint="eastAsia"/>
              </w:rPr>
              <w:t>4mmSBS改性沥青防水卷材单位材料成本</w:t>
            </w:r>
          </w:p>
        </w:tc>
        <w:tc>
          <w:tcPr>
            <w:tcW w:w="1276" w:type="dxa"/>
            <w:shd w:val="clear" w:color="auto" w:fill="auto"/>
          </w:tcPr>
          <w:p>
            <w:r>
              <w:rPr>
                <w:rFonts w:hint="eastAsia"/>
              </w:rPr>
              <w:t>≤26元/㎡</w:t>
            </w:r>
          </w:p>
        </w:tc>
        <w:tc>
          <w:tcPr>
            <w:tcW w:w="4512" w:type="dxa"/>
            <w:shd w:val="clear" w:color="auto" w:fill="auto"/>
          </w:tcPr>
          <w:p>
            <w:r>
              <w:rPr>
                <w:rFonts w:hint="eastAsia"/>
              </w:rPr>
              <w:t>财政定额（不定期更新）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129" w:name="_Toc_4_4_0000000132"/>
      <w:r>
        <w:rPr>
          <w:rFonts w:ascii="方正仿宋_GBK" w:hAnsi="方正仿宋_GBK" w:eastAsia="方正仿宋_GBK" w:cs="方正仿宋_GBK"/>
          <w:color w:val="000000"/>
          <w:sz w:val="28"/>
        </w:rPr>
        <w:t>129.外环路绿化景观提升改造工程绩效目标表</w:t>
      </w:r>
      <w:bookmarkEnd w:id="129"/>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通过项目的开展，充分利用有限空间，本着建设生态微循环，提升边界生态效益，形成生态屏障。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提升改造</w:t>
            </w:r>
          </w:p>
        </w:tc>
        <w:tc>
          <w:tcPr>
            <w:tcW w:w="3544" w:type="dxa"/>
            <w:shd w:val="clear" w:color="auto" w:fill="auto"/>
          </w:tcPr>
          <w:p>
            <w:r>
              <w:rPr>
                <w:rFonts w:hint="eastAsia"/>
              </w:rPr>
              <w:t>提升改造道路长度</w:t>
            </w:r>
          </w:p>
        </w:tc>
        <w:tc>
          <w:tcPr>
            <w:tcW w:w="1276" w:type="dxa"/>
            <w:shd w:val="clear" w:color="auto" w:fill="auto"/>
          </w:tcPr>
          <w:p>
            <w:r>
              <w:rPr>
                <w:rFonts w:hint="eastAsia"/>
              </w:rPr>
              <w:t>12公里</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质量达标率（%）</w:t>
            </w:r>
          </w:p>
        </w:tc>
        <w:tc>
          <w:tcPr>
            <w:tcW w:w="3544" w:type="dxa"/>
            <w:shd w:val="clear" w:color="auto" w:fill="auto"/>
          </w:tcPr>
          <w:p>
            <w:r>
              <w:rPr>
                <w:rFonts w:hint="eastAsia"/>
              </w:rPr>
              <w:t>通过验收工程质量达标率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及时完成率（%）</w:t>
            </w:r>
          </w:p>
        </w:tc>
        <w:tc>
          <w:tcPr>
            <w:tcW w:w="3544" w:type="dxa"/>
            <w:shd w:val="clear" w:color="auto" w:fill="auto"/>
          </w:tcPr>
          <w:p>
            <w:r>
              <w:rPr>
                <w:rFonts w:hint="eastAsia"/>
              </w:rPr>
              <w:t>工程及时完成率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白蜡单价</w:t>
            </w:r>
          </w:p>
        </w:tc>
        <w:tc>
          <w:tcPr>
            <w:tcW w:w="3544" w:type="dxa"/>
            <w:shd w:val="clear" w:color="auto" w:fill="auto"/>
          </w:tcPr>
          <w:p>
            <w:r>
              <w:rPr>
                <w:rFonts w:hint="eastAsia"/>
              </w:rPr>
              <w:t>每株白蜡价格</w:t>
            </w:r>
          </w:p>
        </w:tc>
        <w:tc>
          <w:tcPr>
            <w:tcW w:w="1276" w:type="dxa"/>
            <w:shd w:val="clear" w:color="auto" w:fill="auto"/>
          </w:tcPr>
          <w:p>
            <w:r>
              <w:rPr>
                <w:rFonts w:hint="eastAsia"/>
              </w:rPr>
              <w:t>≤1725元</w:t>
            </w:r>
          </w:p>
        </w:tc>
        <w:tc>
          <w:tcPr>
            <w:tcW w:w="4512" w:type="dxa"/>
            <w:shd w:val="clear" w:color="auto" w:fill="auto"/>
          </w:tcPr>
          <w:p>
            <w:r>
              <w:rPr>
                <w:rFonts w:hint="eastAsia"/>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城市环境</w:t>
            </w:r>
          </w:p>
        </w:tc>
        <w:tc>
          <w:tcPr>
            <w:tcW w:w="3544" w:type="dxa"/>
            <w:shd w:val="clear" w:color="auto" w:fill="auto"/>
          </w:tcPr>
          <w:p>
            <w:r>
              <w:rPr>
                <w:rFonts w:hint="eastAsia"/>
              </w:rPr>
              <w:t>改善城市环境</w:t>
            </w:r>
          </w:p>
        </w:tc>
        <w:tc>
          <w:tcPr>
            <w:tcW w:w="1276" w:type="dxa"/>
            <w:shd w:val="clear" w:color="auto" w:fill="auto"/>
          </w:tcPr>
          <w:p>
            <w:r>
              <w:rPr>
                <w:rFonts w:hint="eastAsia"/>
              </w:rPr>
              <w:t>有所改善</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受益对象满意度</w:t>
            </w:r>
          </w:p>
        </w:tc>
        <w:tc>
          <w:tcPr>
            <w:tcW w:w="3544" w:type="dxa"/>
            <w:shd w:val="clear" w:color="auto" w:fill="auto"/>
          </w:tcPr>
          <w:p>
            <w:r>
              <w:rPr>
                <w:rFonts w:hint="eastAsia"/>
              </w:rPr>
              <w:t>反映受益对象满意率情况</w:t>
            </w:r>
          </w:p>
        </w:tc>
        <w:tc>
          <w:tcPr>
            <w:tcW w:w="1276" w:type="dxa"/>
            <w:shd w:val="clear" w:color="auto" w:fill="auto"/>
          </w:tcPr>
          <w:p>
            <w:r>
              <w:rPr>
                <w:rFonts w:hint="eastAsia"/>
              </w:rPr>
              <w:t>≥90%</w:t>
            </w:r>
          </w:p>
        </w:tc>
        <w:tc>
          <w:tcPr>
            <w:tcW w:w="4512" w:type="dxa"/>
            <w:shd w:val="clear" w:color="auto" w:fill="auto"/>
          </w:tcPr>
          <w:p>
            <w:r>
              <w:rPr>
                <w:rFonts w:hint="eastAsia"/>
              </w:rPr>
              <w:t>满意度调查表</w:t>
            </w:r>
          </w:p>
        </w:tc>
      </w:tr>
    </w:tbl>
    <w:p>
      <w:pPr>
        <w:ind w:firstLine="560"/>
        <w:outlineLvl w:val="3"/>
      </w:pPr>
      <w:bookmarkStart w:id="130" w:name="_Toc_4_4_0000000133"/>
      <w:r>
        <w:rPr>
          <w:rFonts w:ascii="方正仿宋_GBK" w:hAnsi="方正仿宋_GBK" w:eastAsia="方正仿宋_GBK" w:cs="方正仿宋_GBK"/>
          <w:color w:val="000000"/>
          <w:sz w:val="28"/>
        </w:rPr>
        <w:t>130.外环路排水改造工程绩效目标表</w:t>
      </w:r>
      <w:bookmarkEnd w:id="13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通过项目的开展实现城市雨污分流，加强排污排水能力等，保护生态环境，保障城市经济发展，加快城市建设步伐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铺设雨水管道</w:t>
            </w:r>
          </w:p>
        </w:tc>
        <w:tc>
          <w:tcPr>
            <w:tcW w:w="1276" w:type="dxa"/>
            <w:shd w:val="clear" w:color="auto" w:fill="auto"/>
          </w:tcPr>
          <w:p>
            <w:r>
              <w:rPr>
                <w:rFonts w:hint="eastAsia"/>
              </w:rPr>
              <w:t>4702.5米</w:t>
            </w:r>
          </w:p>
        </w:tc>
        <w:tc>
          <w:tcPr>
            <w:tcW w:w="4512" w:type="dxa"/>
            <w:shd w:val="clear" w:color="auto" w:fill="auto"/>
          </w:tcPr>
          <w:p>
            <w:r>
              <w:rPr>
                <w:rFonts w:hint="eastAsia"/>
              </w:rPr>
              <w:t>测绘数据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项目建设成本</w:t>
            </w:r>
          </w:p>
        </w:tc>
        <w:tc>
          <w:tcPr>
            <w:tcW w:w="3544" w:type="dxa"/>
            <w:shd w:val="clear" w:color="auto" w:fill="auto"/>
          </w:tcPr>
          <w:p>
            <w:r>
              <w:rPr>
                <w:rFonts w:hint="eastAsia"/>
              </w:rPr>
              <w:t>沥青混凝土</w:t>
            </w:r>
          </w:p>
        </w:tc>
        <w:tc>
          <w:tcPr>
            <w:tcW w:w="1276" w:type="dxa"/>
            <w:shd w:val="clear" w:color="auto" w:fill="auto"/>
          </w:tcPr>
          <w:p>
            <w:r>
              <w:rPr>
                <w:rFonts w:hint="eastAsia"/>
              </w:rPr>
              <w:t>≤347.31元/平方</w:t>
            </w:r>
          </w:p>
        </w:tc>
        <w:tc>
          <w:tcPr>
            <w:tcW w:w="4512" w:type="dxa"/>
            <w:shd w:val="clear" w:color="auto" w:fill="auto"/>
          </w:tcPr>
          <w:p>
            <w:r>
              <w:rPr>
                <w:rFonts w:hint="eastAsia"/>
              </w:rPr>
              <w:t>财政评审报告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有所改善</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现场调查《满意度调查报告》</w:t>
            </w:r>
          </w:p>
        </w:tc>
      </w:tr>
    </w:tbl>
    <w:p>
      <w:pPr>
        <w:ind w:firstLine="560"/>
        <w:outlineLvl w:val="3"/>
      </w:pPr>
      <w:bookmarkStart w:id="131" w:name="_Toc_4_4_0000000134"/>
      <w:r>
        <w:rPr>
          <w:rFonts w:ascii="方正仿宋_GBK" w:hAnsi="方正仿宋_GBK" w:eastAsia="方正仿宋_GBK" w:cs="方正仿宋_GBK"/>
          <w:color w:val="000000"/>
          <w:sz w:val="28"/>
        </w:rPr>
        <w:t>131.王里路建设工程绩效目标表</w:t>
      </w:r>
      <w:bookmarkEnd w:id="131"/>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完善城市路网，缓解交通拥堵情况，缓解周边住宅小区及第七小学交通压力。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新建道路长度</w:t>
            </w:r>
          </w:p>
        </w:tc>
        <w:tc>
          <w:tcPr>
            <w:tcW w:w="1276" w:type="dxa"/>
            <w:shd w:val="clear" w:color="auto" w:fill="auto"/>
          </w:tcPr>
          <w:p>
            <w:r>
              <w:rPr>
                <w:rFonts w:hint="eastAsia"/>
              </w:rPr>
              <w:t>≤260米</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主要材料单价</w:t>
            </w:r>
          </w:p>
        </w:tc>
        <w:tc>
          <w:tcPr>
            <w:tcW w:w="3544" w:type="dxa"/>
            <w:shd w:val="clear" w:color="auto" w:fill="auto"/>
          </w:tcPr>
          <w:p>
            <w:r>
              <w:rPr>
                <w:rFonts w:hint="eastAsia"/>
              </w:rPr>
              <w:t>预拌混凝土C30</w:t>
            </w:r>
          </w:p>
        </w:tc>
        <w:tc>
          <w:tcPr>
            <w:tcW w:w="1276" w:type="dxa"/>
            <w:shd w:val="clear" w:color="auto" w:fill="auto"/>
          </w:tcPr>
          <w:p>
            <w:r>
              <w:rPr>
                <w:rFonts w:hint="eastAsia"/>
              </w:rPr>
              <w:t>≤460元/吨</w:t>
            </w:r>
          </w:p>
        </w:tc>
        <w:tc>
          <w:tcPr>
            <w:tcW w:w="4512" w:type="dxa"/>
            <w:shd w:val="clear" w:color="auto" w:fill="auto"/>
          </w:tcPr>
          <w:p>
            <w:r>
              <w:rPr>
                <w:rFonts w:hint="eastAsia"/>
              </w:rPr>
              <w:t>《三河市常用建筑安装材料及绿化苗木市场价格信息》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居住条件改善</w:t>
            </w:r>
          </w:p>
        </w:tc>
        <w:tc>
          <w:tcPr>
            <w:tcW w:w="3544" w:type="dxa"/>
            <w:shd w:val="clear" w:color="auto" w:fill="auto"/>
          </w:tcPr>
          <w:p>
            <w:r>
              <w:rPr>
                <w:rFonts w:hint="eastAsia"/>
              </w:rPr>
              <w:t>对居民居住条件的改善情况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32" w:name="_Toc_4_4_0000000135"/>
      <w:r>
        <w:rPr>
          <w:rFonts w:ascii="方正仿宋_GBK" w:hAnsi="方正仿宋_GBK" w:eastAsia="方正仿宋_GBK" w:cs="方正仿宋_GBK"/>
          <w:color w:val="000000"/>
          <w:sz w:val="28"/>
        </w:rPr>
        <w:t>132.王里南街建设工程绩效目标表</w:t>
      </w:r>
      <w:bookmarkEnd w:id="132"/>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完善城市路网，缓解交通拥堵情况，缓解周边住宅小区及第七小学交通压力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新建道路长度</w:t>
            </w:r>
          </w:p>
        </w:tc>
        <w:tc>
          <w:tcPr>
            <w:tcW w:w="1276" w:type="dxa"/>
            <w:shd w:val="clear" w:color="auto" w:fill="auto"/>
          </w:tcPr>
          <w:p>
            <w:r>
              <w:rPr>
                <w:rFonts w:hint="eastAsia"/>
              </w:rPr>
              <w:t>≤460米</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主要材料单价</w:t>
            </w:r>
          </w:p>
        </w:tc>
        <w:tc>
          <w:tcPr>
            <w:tcW w:w="3544" w:type="dxa"/>
            <w:shd w:val="clear" w:color="auto" w:fill="auto"/>
          </w:tcPr>
          <w:p>
            <w:r>
              <w:rPr>
                <w:rFonts w:hint="eastAsia"/>
              </w:rPr>
              <w:t>预拌混凝土C30</w:t>
            </w:r>
          </w:p>
        </w:tc>
        <w:tc>
          <w:tcPr>
            <w:tcW w:w="1276" w:type="dxa"/>
            <w:shd w:val="clear" w:color="auto" w:fill="auto"/>
          </w:tcPr>
          <w:p>
            <w:r>
              <w:rPr>
                <w:rFonts w:hint="eastAsia"/>
              </w:rPr>
              <w:t>≤460元/吨</w:t>
            </w:r>
          </w:p>
        </w:tc>
        <w:tc>
          <w:tcPr>
            <w:tcW w:w="4512" w:type="dxa"/>
            <w:shd w:val="clear" w:color="auto" w:fill="auto"/>
          </w:tcPr>
          <w:p>
            <w:r>
              <w:rPr>
                <w:rFonts w:hint="eastAsia"/>
              </w:rPr>
              <w:t>《三河市常用建筑安装材料及绿化苗木市场价格信息》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居住条件改善</w:t>
            </w:r>
          </w:p>
        </w:tc>
        <w:tc>
          <w:tcPr>
            <w:tcW w:w="3544" w:type="dxa"/>
            <w:shd w:val="clear" w:color="auto" w:fill="auto"/>
          </w:tcPr>
          <w:p>
            <w:r>
              <w:rPr>
                <w:rFonts w:hint="eastAsia"/>
              </w:rPr>
              <w:t>对居民居住条件的改善情况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33" w:name="_Toc_4_4_0000000136"/>
      <w:r>
        <w:rPr>
          <w:rFonts w:ascii="方正仿宋_GBK" w:hAnsi="方正仿宋_GBK" w:eastAsia="方正仿宋_GBK" w:cs="方正仿宋_GBK"/>
          <w:color w:val="000000"/>
          <w:sz w:val="28"/>
        </w:rPr>
        <w:t>133.文化公园（二期）绩效目标表</w:t>
      </w:r>
      <w:bookmarkEnd w:id="133"/>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通过项目的开展，将为提高我市绿地率、创建国家级园林城市积蓄条件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工程建设面积</w:t>
            </w:r>
          </w:p>
        </w:tc>
        <w:tc>
          <w:tcPr>
            <w:tcW w:w="3544" w:type="dxa"/>
            <w:shd w:val="clear" w:color="auto" w:fill="auto"/>
          </w:tcPr>
          <w:p>
            <w:r>
              <w:rPr>
                <w:rFonts w:hint="eastAsia"/>
              </w:rPr>
              <w:t>建设面积</w:t>
            </w:r>
          </w:p>
        </w:tc>
        <w:tc>
          <w:tcPr>
            <w:tcW w:w="1276" w:type="dxa"/>
            <w:shd w:val="clear" w:color="auto" w:fill="auto"/>
          </w:tcPr>
          <w:p>
            <w:r>
              <w:rPr>
                <w:rFonts w:hint="eastAsia"/>
              </w:rPr>
              <w:t>80亩</w:t>
            </w:r>
          </w:p>
        </w:tc>
        <w:tc>
          <w:tcPr>
            <w:tcW w:w="4512" w:type="dxa"/>
            <w:shd w:val="clear" w:color="auto" w:fill="auto"/>
          </w:tcPr>
          <w:p>
            <w:r>
              <w:rPr>
                <w:rFonts w:hint="eastAsia"/>
              </w:rPr>
              <w:t>测绘数据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工程质量达标率（%）</w:t>
            </w:r>
          </w:p>
        </w:tc>
        <w:tc>
          <w:tcPr>
            <w:tcW w:w="3544" w:type="dxa"/>
            <w:shd w:val="clear" w:color="auto" w:fill="auto"/>
          </w:tcPr>
          <w:p>
            <w:r>
              <w:rPr>
                <w:rFonts w:hint="eastAsia"/>
              </w:rPr>
              <w:t>通过验收的工作质量比率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工程及时完成率（%）</w:t>
            </w:r>
          </w:p>
        </w:tc>
        <w:tc>
          <w:tcPr>
            <w:tcW w:w="3544" w:type="dxa"/>
            <w:shd w:val="clear" w:color="auto" w:fill="auto"/>
          </w:tcPr>
          <w:p>
            <w:r>
              <w:rPr>
                <w:rFonts w:hint="eastAsia"/>
              </w:rPr>
              <w:t>工程完成占计划完成率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连翘单价</w:t>
            </w:r>
          </w:p>
        </w:tc>
        <w:tc>
          <w:tcPr>
            <w:tcW w:w="3544" w:type="dxa"/>
            <w:shd w:val="clear" w:color="auto" w:fill="auto"/>
          </w:tcPr>
          <w:p>
            <w:r>
              <w:rPr>
                <w:rFonts w:hint="eastAsia"/>
              </w:rPr>
              <w:t>连翘每株单价</w:t>
            </w:r>
          </w:p>
        </w:tc>
        <w:tc>
          <w:tcPr>
            <w:tcW w:w="1276" w:type="dxa"/>
            <w:shd w:val="clear" w:color="auto" w:fill="auto"/>
          </w:tcPr>
          <w:p>
            <w:r>
              <w:rPr>
                <w:rFonts w:hint="eastAsia"/>
              </w:rPr>
              <w:t>≤94元</w:t>
            </w:r>
          </w:p>
        </w:tc>
        <w:tc>
          <w:tcPr>
            <w:tcW w:w="4512" w:type="dxa"/>
            <w:shd w:val="clear" w:color="auto" w:fill="auto"/>
          </w:tcPr>
          <w:p>
            <w:r>
              <w:rPr>
                <w:rFonts w:hint="eastAsia"/>
              </w:rP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城市环境</w:t>
            </w:r>
          </w:p>
        </w:tc>
        <w:tc>
          <w:tcPr>
            <w:tcW w:w="3544" w:type="dxa"/>
            <w:shd w:val="clear" w:color="auto" w:fill="auto"/>
          </w:tcPr>
          <w:p>
            <w:r>
              <w:rPr>
                <w:rFonts w:hint="eastAsia"/>
              </w:rPr>
              <w:t>改善城市环境</w:t>
            </w:r>
          </w:p>
        </w:tc>
        <w:tc>
          <w:tcPr>
            <w:tcW w:w="1276" w:type="dxa"/>
            <w:shd w:val="clear" w:color="auto" w:fill="auto"/>
          </w:tcPr>
          <w:p>
            <w:r>
              <w:rPr>
                <w:rFonts w:hint="eastAsia"/>
              </w:rPr>
              <w:t>有所改善</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受益对象满意度</w:t>
            </w:r>
          </w:p>
        </w:tc>
        <w:tc>
          <w:tcPr>
            <w:tcW w:w="3544" w:type="dxa"/>
            <w:shd w:val="clear" w:color="auto" w:fill="auto"/>
          </w:tcPr>
          <w:p>
            <w:r>
              <w:rPr>
                <w:rFonts w:hint="eastAsia"/>
              </w:rPr>
              <w:t>反映受益对象满意率情况</w:t>
            </w:r>
          </w:p>
        </w:tc>
        <w:tc>
          <w:tcPr>
            <w:tcW w:w="1276" w:type="dxa"/>
            <w:shd w:val="clear" w:color="auto" w:fill="auto"/>
          </w:tcPr>
          <w:p>
            <w:r>
              <w:rPr>
                <w:rFonts w:hint="eastAsia"/>
              </w:rPr>
              <w:t>≥90%</w:t>
            </w:r>
          </w:p>
        </w:tc>
        <w:tc>
          <w:tcPr>
            <w:tcW w:w="4512" w:type="dxa"/>
            <w:shd w:val="clear" w:color="auto" w:fill="auto"/>
          </w:tcPr>
          <w:p>
            <w:r>
              <w:rPr>
                <w:rFonts w:hint="eastAsia"/>
              </w:rPr>
              <w:t>现场调查《满意度调查报告》</w:t>
            </w:r>
          </w:p>
        </w:tc>
      </w:tr>
    </w:tbl>
    <w:p>
      <w:pPr>
        <w:ind w:firstLine="560"/>
        <w:outlineLvl w:val="3"/>
      </w:pPr>
      <w:bookmarkStart w:id="134" w:name="_Toc_4_4_0000000137"/>
      <w:r>
        <w:rPr>
          <w:rFonts w:ascii="方正仿宋_GBK" w:hAnsi="方正仿宋_GBK" w:eastAsia="方正仿宋_GBK" w:cs="方正仿宋_GBK"/>
          <w:color w:val="000000"/>
          <w:sz w:val="28"/>
        </w:rPr>
        <w:t>134.文化公园（一期）绩效目标表</w:t>
      </w:r>
      <w:bookmarkEnd w:id="134"/>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通过项目的开展，将为提高我市绿地率、创建国家级园林城市积蓄条件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占地面积</w:t>
            </w:r>
          </w:p>
        </w:tc>
        <w:tc>
          <w:tcPr>
            <w:tcW w:w="3544" w:type="dxa"/>
            <w:shd w:val="clear" w:color="auto" w:fill="auto"/>
          </w:tcPr>
          <w:p>
            <w:r>
              <w:rPr>
                <w:rFonts w:hint="eastAsia"/>
              </w:rPr>
              <w:t>工程占地面积</w:t>
            </w:r>
          </w:p>
        </w:tc>
        <w:tc>
          <w:tcPr>
            <w:tcW w:w="1276" w:type="dxa"/>
            <w:shd w:val="clear" w:color="auto" w:fill="auto"/>
          </w:tcPr>
          <w:p>
            <w:r>
              <w:rPr>
                <w:rFonts w:hint="eastAsia"/>
              </w:rPr>
              <w:t>70亩</w:t>
            </w:r>
          </w:p>
        </w:tc>
        <w:tc>
          <w:tcPr>
            <w:tcW w:w="4512" w:type="dxa"/>
            <w:shd w:val="clear" w:color="auto" w:fill="auto"/>
          </w:tcPr>
          <w:p>
            <w:r>
              <w:rPr>
                <w:rFonts w:hint="eastAsia"/>
              </w:rPr>
              <w:t>测绘数据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质量达标率（%）</w:t>
            </w:r>
          </w:p>
        </w:tc>
        <w:tc>
          <w:tcPr>
            <w:tcW w:w="3544" w:type="dxa"/>
            <w:shd w:val="clear" w:color="auto" w:fill="auto"/>
          </w:tcPr>
          <w:p>
            <w:r>
              <w:rPr>
                <w:rFonts w:hint="eastAsia"/>
              </w:rPr>
              <w:t>通过验收工程质量达标率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及时完成率（%）</w:t>
            </w:r>
          </w:p>
        </w:tc>
        <w:tc>
          <w:tcPr>
            <w:tcW w:w="3544" w:type="dxa"/>
            <w:shd w:val="clear" w:color="auto" w:fill="auto"/>
          </w:tcPr>
          <w:p>
            <w:r>
              <w:rPr>
                <w:rFonts w:hint="eastAsia"/>
              </w:rPr>
              <w:t>工程及时完成率</w:t>
            </w:r>
          </w:p>
        </w:tc>
        <w:tc>
          <w:tcPr>
            <w:tcW w:w="1276" w:type="dxa"/>
            <w:shd w:val="clear" w:color="auto" w:fill="auto"/>
          </w:tcPr>
          <w:p>
            <w:r>
              <w:rPr>
                <w:rFonts w:hint="eastAsia"/>
              </w:rPr>
              <w:t>100%</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地被月季单价</w:t>
            </w:r>
          </w:p>
        </w:tc>
        <w:tc>
          <w:tcPr>
            <w:tcW w:w="3544" w:type="dxa"/>
            <w:shd w:val="clear" w:color="auto" w:fill="auto"/>
          </w:tcPr>
          <w:p>
            <w:r>
              <w:rPr>
                <w:rFonts w:hint="eastAsia"/>
              </w:rPr>
              <w:t>栽植地被月季每平米单价</w:t>
            </w:r>
          </w:p>
        </w:tc>
        <w:tc>
          <w:tcPr>
            <w:tcW w:w="1276" w:type="dxa"/>
            <w:shd w:val="clear" w:color="auto" w:fill="auto"/>
          </w:tcPr>
          <w:p>
            <w:r>
              <w:rPr>
                <w:rFonts w:hint="eastAsia"/>
              </w:rPr>
              <w:t>≤41.98元/平方米</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城市环境</w:t>
            </w:r>
          </w:p>
        </w:tc>
        <w:tc>
          <w:tcPr>
            <w:tcW w:w="3544" w:type="dxa"/>
            <w:shd w:val="clear" w:color="auto" w:fill="auto"/>
          </w:tcPr>
          <w:p>
            <w:r>
              <w:rPr>
                <w:rFonts w:hint="eastAsia"/>
              </w:rPr>
              <w:t>改善城市环境</w:t>
            </w:r>
          </w:p>
        </w:tc>
        <w:tc>
          <w:tcPr>
            <w:tcW w:w="1276" w:type="dxa"/>
            <w:shd w:val="clear" w:color="auto" w:fill="auto"/>
          </w:tcPr>
          <w:p>
            <w:r>
              <w:rPr>
                <w:rFonts w:hint="eastAsia"/>
              </w:rPr>
              <w:t>有所改善</w:t>
            </w:r>
          </w:p>
        </w:tc>
        <w:tc>
          <w:tcPr>
            <w:tcW w:w="4512" w:type="dxa"/>
            <w:shd w:val="clear" w:color="auto" w:fill="auto"/>
          </w:tcPr>
          <w:p>
            <w:r>
              <w:rPr>
                <w:rFonts w:hint="eastAsia"/>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受益对象满意度</w:t>
            </w:r>
          </w:p>
        </w:tc>
        <w:tc>
          <w:tcPr>
            <w:tcW w:w="3544" w:type="dxa"/>
            <w:shd w:val="clear" w:color="auto" w:fill="auto"/>
          </w:tcPr>
          <w:p>
            <w:r>
              <w:rPr>
                <w:rFonts w:hint="eastAsia"/>
              </w:rPr>
              <w:t>反映受益对象满意率情况</w:t>
            </w:r>
          </w:p>
        </w:tc>
        <w:tc>
          <w:tcPr>
            <w:tcW w:w="1276" w:type="dxa"/>
            <w:shd w:val="clear" w:color="auto" w:fill="auto"/>
          </w:tcPr>
          <w:p>
            <w:r>
              <w:rPr>
                <w:rFonts w:hint="eastAsia"/>
              </w:rPr>
              <w:t>≥90</w:t>
            </w:r>
          </w:p>
        </w:tc>
        <w:tc>
          <w:tcPr>
            <w:tcW w:w="4512" w:type="dxa"/>
            <w:shd w:val="clear" w:color="auto" w:fill="auto"/>
          </w:tcPr>
          <w:p>
            <w:r>
              <w:rPr>
                <w:rFonts w:hint="eastAsia"/>
              </w:rPr>
              <w:t>现场调查《满意度调查报告》</w:t>
            </w:r>
          </w:p>
        </w:tc>
      </w:tr>
    </w:tbl>
    <w:p>
      <w:pPr>
        <w:ind w:firstLine="560"/>
        <w:outlineLvl w:val="3"/>
      </w:pPr>
      <w:bookmarkStart w:id="135" w:name="_Toc_4_4_0000000138"/>
      <w:r>
        <w:rPr>
          <w:rFonts w:ascii="方正仿宋_GBK" w:hAnsi="方正仿宋_GBK" w:eastAsia="方正仿宋_GBK" w:cs="方正仿宋_GBK"/>
          <w:color w:val="000000"/>
          <w:sz w:val="28"/>
        </w:rPr>
        <w:t>135.无物业小区规范化管理绩效目标表</w:t>
      </w:r>
      <w:bookmarkEnd w:id="135"/>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通过项目开展，形成社会协同、管理多元的物业规范化管理长效机制，全面提升我市人居环境。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服务小区数量</w:t>
            </w:r>
          </w:p>
        </w:tc>
        <w:tc>
          <w:tcPr>
            <w:tcW w:w="3544" w:type="dxa"/>
            <w:shd w:val="clear" w:color="auto" w:fill="auto"/>
          </w:tcPr>
          <w:p>
            <w:r>
              <w:rPr>
                <w:rFonts w:hint="eastAsia"/>
              </w:rPr>
              <w:t>完成无物业小区规范化管理数量</w:t>
            </w:r>
          </w:p>
        </w:tc>
        <w:tc>
          <w:tcPr>
            <w:tcW w:w="1276" w:type="dxa"/>
            <w:shd w:val="clear" w:color="auto" w:fill="auto"/>
          </w:tcPr>
          <w:p>
            <w:r>
              <w:rPr>
                <w:rFonts w:hint="eastAsia"/>
              </w:rPr>
              <w:t>≤155个</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服务质量</w:t>
            </w:r>
          </w:p>
        </w:tc>
        <w:tc>
          <w:tcPr>
            <w:tcW w:w="3544" w:type="dxa"/>
            <w:shd w:val="clear" w:color="auto" w:fill="auto"/>
          </w:tcPr>
          <w:p>
            <w:r>
              <w:rPr>
                <w:rFonts w:hint="eastAsia"/>
              </w:rPr>
              <w:t>提供服务的质量</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服务的完成度</w:t>
            </w:r>
          </w:p>
        </w:tc>
        <w:tc>
          <w:tcPr>
            <w:tcW w:w="3544" w:type="dxa"/>
            <w:shd w:val="clear" w:color="auto" w:fill="auto"/>
          </w:tcPr>
          <w:p>
            <w:r>
              <w:rPr>
                <w:rFonts w:hint="eastAsia"/>
              </w:rPr>
              <w:t>服务的完成度</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人员工资</w:t>
            </w:r>
          </w:p>
        </w:tc>
        <w:tc>
          <w:tcPr>
            <w:tcW w:w="3544" w:type="dxa"/>
            <w:shd w:val="clear" w:color="auto" w:fill="auto"/>
          </w:tcPr>
          <w:p>
            <w:r>
              <w:rPr>
                <w:rFonts w:hint="eastAsia"/>
              </w:rPr>
              <w:t>安保人员工资</w:t>
            </w:r>
          </w:p>
        </w:tc>
        <w:tc>
          <w:tcPr>
            <w:tcW w:w="1276" w:type="dxa"/>
            <w:shd w:val="clear" w:color="auto" w:fill="auto"/>
          </w:tcPr>
          <w:p>
            <w:r>
              <w:rPr>
                <w:rFonts w:hint="eastAsia"/>
              </w:rPr>
              <w:t>≥3250元</w:t>
            </w:r>
          </w:p>
        </w:tc>
        <w:tc>
          <w:tcPr>
            <w:tcW w:w="4512" w:type="dxa"/>
            <w:shd w:val="clear" w:color="auto" w:fill="auto"/>
          </w:tcPr>
          <w:p>
            <w:r>
              <w:rPr>
                <w:rFonts w:hint="eastAsia"/>
              </w:rPr>
              <w:t>测算报告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人居环境提升情况</w:t>
            </w:r>
          </w:p>
        </w:tc>
        <w:tc>
          <w:tcPr>
            <w:tcW w:w="3544" w:type="dxa"/>
            <w:shd w:val="clear" w:color="auto" w:fill="auto"/>
          </w:tcPr>
          <w:p>
            <w:r>
              <w:rPr>
                <w:rFonts w:hint="eastAsia"/>
              </w:rPr>
              <w:t>人居环境是否得到提升</w:t>
            </w:r>
          </w:p>
        </w:tc>
        <w:tc>
          <w:tcPr>
            <w:tcW w:w="1276" w:type="dxa"/>
            <w:shd w:val="clear" w:color="auto" w:fill="auto"/>
          </w:tcPr>
          <w:p>
            <w:r>
              <w:rPr>
                <w:rFonts w:hint="eastAsia"/>
              </w:rPr>
              <w:t>得到提升</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服务对象调查满意度占调查人数的比例</w:t>
            </w:r>
          </w:p>
        </w:tc>
        <w:tc>
          <w:tcPr>
            <w:tcW w:w="1276" w:type="dxa"/>
            <w:shd w:val="clear" w:color="auto" w:fill="auto"/>
          </w:tcPr>
          <w:p>
            <w:r>
              <w:rPr>
                <w:rFonts w:hint="eastAsia"/>
              </w:rPr>
              <w:t>≥80%</w:t>
            </w:r>
          </w:p>
        </w:tc>
        <w:tc>
          <w:tcPr>
            <w:tcW w:w="4512" w:type="dxa"/>
            <w:shd w:val="clear" w:color="auto" w:fill="auto"/>
          </w:tcPr>
          <w:p>
            <w:r>
              <w:rPr>
                <w:rFonts w:hint="eastAsia"/>
              </w:rPr>
              <w:t>《满意度调查表》</w:t>
            </w:r>
          </w:p>
        </w:tc>
      </w:tr>
    </w:tbl>
    <w:p>
      <w:pPr>
        <w:ind w:firstLine="560"/>
        <w:outlineLvl w:val="3"/>
      </w:pPr>
      <w:bookmarkStart w:id="136" w:name="_Toc_4_4_0000000139"/>
      <w:r>
        <w:rPr>
          <w:rFonts w:ascii="方正仿宋_GBK" w:hAnsi="方正仿宋_GBK" w:eastAsia="方正仿宋_GBK" w:cs="方正仿宋_GBK"/>
          <w:color w:val="000000"/>
          <w:sz w:val="28"/>
        </w:rPr>
        <w:t>136.西环路南段雨污分流工程绩效目标表</w:t>
      </w:r>
      <w:bookmarkEnd w:id="136"/>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通过项目的开展实现城市雨污分流，加强排污排水能力等，保护生态环境，保障城市经济发展，加快城市建设步伐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新建雨水管线</w:t>
            </w:r>
          </w:p>
        </w:tc>
        <w:tc>
          <w:tcPr>
            <w:tcW w:w="1276" w:type="dxa"/>
            <w:shd w:val="clear" w:color="auto" w:fill="auto"/>
          </w:tcPr>
          <w:p>
            <w:r>
              <w:rPr>
                <w:rFonts w:hint="eastAsia"/>
              </w:rPr>
              <w:t>951.5米</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项目建设成本</w:t>
            </w:r>
          </w:p>
        </w:tc>
        <w:tc>
          <w:tcPr>
            <w:tcW w:w="3544" w:type="dxa"/>
            <w:shd w:val="clear" w:color="auto" w:fill="auto"/>
          </w:tcPr>
          <w:p>
            <w:r>
              <w:rPr>
                <w:rFonts w:hint="eastAsia"/>
              </w:rPr>
              <w:t>石灰粉煤灰稳定碎石</w:t>
            </w:r>
          </w:p>
        </w:tc>
        <w:tc>
          <w:tcPr>
            <w:tcW w:w="1276" w:type="dxa"/>
            <w:shd w:val="clear" w:color="auto" w:fill="auto"/>
          </w:tcPr>
          <w:p>
            <w:r>
              <w:rPr>
                <w:rFonts w:hint="eastAsia"/>
              </w:rPr>
              <w:t>≤47.75元/平方</w:t>
            </w:r>
          </w:p>
        </w:tc>
        <w:tc>
          <w:tcPr>
            <w:tcW w:w="4512" w:type="dxa"/>
            <w:shd w:val="clear" w:color="auto" w:fill="auto"/>
          </w:tcPr>
          <w:p>
            <w:r>
              <w:rPr>
                <w:rFonts w:hint="eastAsia"/>
              </w:rPr>
              <w:t>预算评审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有所改善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37" w:name="_Toc_4_4_0000000140"/>
      <w:r>
        <w:rPr>
          <w:rFonts w:ascii="方正仿宋_GBK" w:hAnsi="方正仿宋_GBK" w:eastAsia="方正仿宋_GBK" w:cs="方正仿宋_GBK"/>
          <w:color w:val="000000"/>
          <w:sz w:val="28"/>
        </w:rPr>
        <w:t>137.西环路综合整治工程绩效目标表</w:t>
      </w:r>
      <w:bookmarkEnd w:id="137"/>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通过项目的开展完成西环路道路及景观改造，实现雨污分流，加强排污排水能力，发挥交通优势，完善道路环境，美化生活环境。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实际栽植藤本月季数量</w:t>
            </w:r>
          </w:p>
        </w:tc>
        <w:tc>
          <w:tcPr>
            <w:tcW w:w="1276" w:type="dxa"/>
            <w:shd w:val="clear" w:color="auto" w:fill="auto"/>
          </w:tcPr>
          <w:p>
            <w:r>
              <w:rPr>
                <w:rFonts w:hint="eastAsia"/>
              </w:rPr>
              <w:t>≤5676株</w:t>
            </w:r>
          </w:p>
        </w:tc>
        <w:tc>
          <w:tcPr>
            <w:tcW w:w="4512" w:type="dxa"/>
            <w:shd w:val="clear" w:color="auto" w:fill="auto"/>
          </w:tcPr>
          <w:p>
            <w:r>
              <w:rPr>
                <w:rFonts w:hint="eastAsia"/>
              </w:rPr>
              <w:t>结算报告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藤本月季单价</w:t>
            </w:r>
          </w:p>
        </w:tc>
        <w:tc>
          <w:tcPr>
            <w:tcW w:w="3544" w:type="dxa"/>
            <w:shd w:val="clear" w:color="auto" w:fill="auto"/>
          </w:tcPr>
          <w:p>
            <w:r>
              <w:rPr>
                <w:rFonts w:hint="eastAsia"/>
              </w:rPr>
              <w:t>每株藤本月季的价格</w:t>
            </w:r>
          </w:p>
        </w:tc>
        <w:tc>
          <w:tcPr>
            <w:tcW w:w="1276" w:type="dxa"/>
            <w:shd w:val="clear" w:color="auto" w:fill="auto"/>
          </w:tcPr>
          <w:p>
            <w:r>
              <w:rPr>
                <w:rFonts w:hint="eastAsia"/>
              </w:rPr>
              <w:t>≤11元</w:t>
            </w:r>
          </w:p>
        </w:tc>
        <w:tc>
          <w:tcPr>
            <w:tcW w:w="4512" w:type="dxa"/>
            <w:shd w:val="clear" w:color="auto" w:fill="auto"/>
          </w:tcPr>
          <w:p>
            <w:r>
              <w:rPr>
                <w:rFonts w:hint="eastAsia"/>
              </w:rPr>
              <w:t>结算报告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38" w:name="_Toc_4_4_0000000141"/>
      <w:r>
        <w:rPr>
          <w:rFonts w:ascii="方正仿宋_GBK" w:hAnsi="方正仿宋_GBK" w:eastAsia="方正仿宋_GBK" w:cs="方正仿宋_GBK"/>
          <w:color w:val="000000"/>
          <w:sz w:val="28"/>
        </w:rPr>
        <w:t>138.阳光小区环境综合改造工程绩效目标表</w:t>
      </w:r>
      <w:bookmarkEnd w:id="138"/>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通过项目的开展，建立和谐的社区，提高城市良好形象。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铺设混凝土路面长度</w:t>
            </w:r>
          </w:p>
        </w:tc>
        <w:tc>
          <w:tcPr>
            <w:tcW w:w="1276" w:type="dxa"/>
            <w:shd w:val="clear" w:color="auto" w:fill="auto"/>
          </w:tcPr>
          <w:p>
            <w:r>
              <w:rPr>
                <w:rFonts w:hint="eastAsia"/>
              </w:rPr>
              <w:t>≥10000平方米</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主要材料价格</w:t>
            </w:r>
          </w:p>
        </w:tc>
        <w:tc>
          <w:tcPr>
            <w:tcW w:w="3544" w:type="dxa"/>
            <w:shd w:val="clear" w:color="auto" w:fill="auto"/>
          </w:tcPr>
          <w:p>
            <w:r>
              <w:rPr>
                <w:rFonts w:hint="eastAsia"/>
              </w:rPr>
              <w:t>水泥混凝土路面/平米</w:t>
            </w:r>
          </w:p>
        </w:tc>
        <w:tc>
          <w:tcPr>
            <w:tcW w:w="1276" w:type="dxa"/>
            <w:shd w:val="clear" w:color="auto" w:fill="auto"/>
          </w:tcPr>
          <w:p>
            <w:r>
              <w:rPr>
                <w:rFonts w:hint="eastAsia"/>
              </w:rPr>
              <w:t>≤167.24元/平方</w:t>
            </w:r>
          </w:p>
        </w:tc>
        <w:tc>
          <w:tcPr>
            <w:tcW w:w="4512" w:type="dxa"/>
            <w:shd w:val="clear" w:color="auto" w:fill="auto"/>
          </w:tcPr>
          <w:p>
            <w:r>
              <w:rPr>
                <w:rFonts w:hint="eastAsia"/>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隐患消除情况</w:t>
            </w:r>
          </w:p>
        </w:tc>
        <w:tc>
          <w:tcPr>
            <w:tcW w:w="3544" w:type="dxa"/>
            <w:shd w:val="clear" w:color="auto" w:fill="auto"/>
          </w:tcPr>
          <w:p>
            <w:r>
              <w:rPr>
                <w:rFonts w:hint="eastAsia"/>
              </w:rPr>
              <w:t>通过维护改造，消除改善安全隐患的情况</w:t>
            </w:r>
          </w:p>
        </w:tc>
        <w:tc>
          <w:tcPr>
            <w:tcW w:w="1276" w:type="dxa"/>
            <w:shd w:val="clear" w:color="auto" w:fill="auto"/>
          </w:tcPr>
          <w:p>
            <w:r>
              <w:rPr>
                <w:rFonts w:hint="eastAsia"/>
              </w:rPr>
              <w:t>有所改善</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受益群体满意度（%）</w:t>
            </w:r>
          </w:p>
        </w:tc>
        <w:tc>
          <w:tcPr>
            <w:tcW w:w="3544" w:type="dxa"/>
            <w:shd w:val="clear" w:color="auto" w:fill="auto"/>
          </w:tcPr>
          <w:p>
            <w:r>
              <w:rPr>
                <w:rFonts w:hint="eastAsia"/>
              </w:rPr>
              <w:t>受益群体调查满足度占调查人数的比例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39" w:name="_Toc_4_4_0000000142"/>
      <w:r>
        <w:rPr>
          <w:rFonts w:ascii="方正仿宋_GBK" w:hAnsi="方正仿宋_GBK" w:eastAsia="方正仿宋_GBK" w:cs="方正仿宋_GBK"/>
          <w:color w:val="000000"/>
          <w:sz w:val="28"/>
        </w:rPr>
        <w:t>139.永安路北段中修工程绩效目标表</w:t>
      </w:r>
      <w:bookmarkEnd w:id="139"/>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通过项目的开展实现城市美化，改善道路环境等，保障城市经济发展，加快城市建设步伐。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中修道路长度</w:t>
            </w:r>
          </w:p>
        </w:tc>
        <w:tc>
          <w:tcPr>
            <w:tcW w:w="1276" w:type="dxa"/>
            <w:shd w:val="clear" w:color="auto" w:fill="auto"/>
          </w:tcPr>
          <w:p>
            <w:r>
              <w:rPr>
                <w:rFonts w:hint="eastAsia"/>
              </w:rPr>
              <w:t>≤582米</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重要材料单价</w:t>
            </w:r>
          </w:p>
        </w:tc>
        <w:tc>
          <w:tcPr>
            <w:tcW w:w="3544" w:type="dxa"/>
            <w:shd w:val="clear" w:color="auto" w:fill="auto"/>
          </w:tcPr>
          <w:p>
            <w:r>
              <w:rPr>
                <w:rFonts w:hint="eastAsia"/>
              </w:rPr>
              <w:t>预拌混凝土C30</w:t>
            </w:r>
          </w:p>
        </w:tc>
        <w:tc>
          <w:tcPr>
            <w:tcW w:w="1276" w:type="dxa"/>
            <w:shd w:val="clear" w:color="auto" w:fill="auto"/>
          </w:tcPr>
          <w:p>
            <w:r>
              <w:rPr>
                <w:rFonts w:hint="eastAsia"/>
              </w:rPr>
              <w:t>≤460元/吨</w:t>
            </w:r>
          </w:p>
        </w:tc>
        <w:tc>
          <w:tcPr>
            <w:tcW w:w="4512" w:type="dxa"/>
            <w:shd w:val="clear" w:color="auto" w:fill="auto"/>
          </w:tcPr>
          <w:p>
            <w:r>
              <w:rPr>
                <w:rFonts w:hint="eastAsia"/>
              </w:rPr>
              <w:t>三河市常用建筑安装材料及绿化苗木市场价格信息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群众满意度</w:t>
            </w:r>
          </w:p>
        </w:tc>
        <w:tc>
          <w:tcPr>
            <w:tcW w:w="3544" w:type="dxa"/>
            <w:shd w:val="clear" w:color="auto" w:fill="auto"/>
          </w:tcPr>
          <w:p>
            <w:r>
              <w:rPr>
                <w:rFonts w:hint="eastAsia"/>
              </w:rPr>
              <w:t>调查中满意人数占调查总人数的比例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40" w:name="_Toc_4_4_0000000143"/>
      <w:r>
        <w:rPr>
          <w:rFonts w:ascii="方正仿宋_GBK" w:hAnsi="方正仿宋_GBK" w:eastAsia="方正仿宋_GBK" w:cs="方正仿宋_GBK"/>
          <w:color w:val="000000"/>
          <w:sz w:val="28"/>
        </w:rPr>
        <w:t>140.育才路南段雨污分流改造工程绩效目标表</w:t>
      </w:r>
      <w:bookmarkEnd w:id="14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通过项目的开展实现城市雨污分流，加强排污排水能力等，保护生态环境，保障城市经济发展，加快城市建设步伐。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恢复沥青混凝土路面</w:t>
            </w:r>
          </w:p>
        </w:tc>
        <w:tc>
          <w:tcPr>
            <w:tcW w:w="1276" w:type="dxa"/>
            <w:shd w:val="clear" w:color="auto" w:fill="auto"/>
          </w:tcPr>
          <w:p>
            <w:r>
              <w:rPr>
                <w:rFonts w:hint="eastAsia"/>
              </w:rPr>
              <w:t>≤5700平方米</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工作验收合格率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重要材料单价</w:t>
            </w:r>
          </w:p>
        </w:tc>
        <w:tc>
          <w:tcPr>
            <w:tcW w:w="3544" w:type="dxa"/>
            <w:shd w:val="clear" w:color="auto" w:fill="auto"/>
          </w:tcPr>
          <w:p>
            <w:r>
              <w:rPr>
                <w:rFonts w:hint="eastAsia"/>
              </w:rPr>
              <w:t>预拌混凝土C30</w:t>
            </w:r>
          </w:p>
        </w:tc>
        <w:tc>
          <w:tcPr>
            <w:tcW w:w="1276" w:type="dxa"/>
            <w:shd w:val="clear" w:color="auto" w:fill="auto"/>
          </w:tcPr>
          <w:p>
            <w:r>
              <w:rPr>
                <w:rFonts w:hint="eastAsia"/>
              </w:rPr>
              <w:t>≤460元/吨</w:t>
            </w:r>
          </w:p>
        </w:tc>
        <w:tc>
          <w:tcPr>
            <w:tcW w:w="4512" w:type="dxa"/>
            <w:shd w:val="clear" w:color="auto" w:fill="auto"/>
          </w:tcPr>
          <w:p>
            <w:r>
              <w:rPr>
                <w:rFonts w:hint="eastAsia"/>
              </w:rPr>
              <w:t>三河市常用建筑安装材料及绿化苗木市场价格信息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人居环境环境改善</w:t>
            </w:r>
          </w:p>
        </w:tc>
        <w:tc>
          <w:tcPr>
            <w:tcW w:w="3544" w:type="dxa"/>
            <w:shd w:val="clear" w:color="auto" w:fill="auto"/>
          </w:tcPr>
          <w:p>
            <w:r>
              <w:rPr>
                <w:rFonts w:hint="eastAsia"/>
              </w:rPr>
              <w:t>对人居环境的改善情况</w:t>
            </w:r>
          </w:p>
        </w:tc>
        <w:tc>
          <w:tcPr>
            <w:tcW w:w="1276" w:type="dxa"/>
            <w:shd w:val="clear" w:color="auto" w:fill="auto"/>
          </w:tcPr>
          <w:p>
            <w:r>
              <w:rPr>
                <w:rFonts w:hint="eastAsia"/>
              </w:rPr>
              <w:t>明显改善</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服务对象满意度指标</w:t>
            </w:r>
          </w:p>
        </w:tc>
        <w:tc>
          <w:tcPr>
            <w:tcW w:w="3544" w:type="dxa"/>
            <w:shd w:val="clear" w:color="auto" w:fill="auto"/>
          </w:tcPr>
          <w:p>
            <w:r>
              <w:rPr>
                <w:rFonts w:hint="eastAsia"/>
              </w:rPr>
              <w:t>群众满意度</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560"/>
        <w:outlineLvl w:val="3"/>
      </w:pPr>
      <w:bookmarkStart w:id="141" w:name="_Toc_4_4_0000000144"/>
      <w:r>
        <w:rPr>
          <w:rFonts w:ascii="方正仿宋_GBK" w:hAnsi="方正仿宋_GBK" w:eastAsia="方正仿宋_GBK" w:cs="方正仿宋_GBK"/>
          <w:color w:val="000000"/>
          <w:sz w:val="28"/>
        </w:rPr>
        <w:t>141.住房专项规划绩效目标表</w:t>
      </w:r>
      <w:bookmarkEnd w:id="141"/>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0"/>
        <w:gridCol w:w="1417"/>
        <w:gridCol w:w="1843"/>
        <w:gridCol w:w="3544"/>
        <w:gridCol w:w="1276"/>
        <w:gridCol w:w="45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592" w:type="dxa"/>
            <w:gridSpan w:val="5"/>
            <w:shd w:val="clear" w:color="auto" w:fill="auto"/>
            <w:vAlign w:val="center"/>
          </w:tcPr>
          <w:p>
            <w:pPr>
              <w:spacing w:line="300" w:lineRule="exact"/>
              <w:rPr>
                <w:rFonts w:ascii="Times New Roman" w:hAnsi="Times New Roman" w:eastAsia="仿宋_GB2312" w:cs="Times New Roman"/>
                <w:b/>
              </w:rPr>
            </w:pPr>
            <w:r>
              <w:t>完成住房专项规划，为三河市全市域住房总体发展规划、宜居城市和住房事业高质量发展要求提供指导性方案。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5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5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17" w:type="dxa"/>
            <w:shd w:val="clear" w:color="auto" w:fill="auto"/>
          </w:tcPr>
          <w:p>
            <w:r>
              <w:rPr>
                <w:rFonts w:hint="eastAsia"/>
              </w:rPr>
              <w:t>数量指标</w:t>
            </w:r>
          </w:p>
        </w:tc>
        <w:tc>
          <w:tcPr>
            <w:tcW w:w="1843" w:type="dxa"/>
            <w:shd w:val="clear" w:color="auto" w:fill="auto"/>
          </w:tcPr>
          <w:p>
            <w:r>
              <w:rPr>
                <w:rFonts w:hint="eastAsia"/>
              </w:rPr>
              <w:t>实际完成量</w:t>
            </w:r>
          </w:p>
        </w:tc>
        <w:tc>
          <w:tcPr>
            <w:tcW w:w="3544" w:type="dxa"/>
            <w:shd w:val="clear" w:color="auto" w:fill="auto"/>
          </w:tcPr>
          <w:p>
            <w:r>
              <w:rPr>
                <w:rFonts w:hint="eastAsia"/>
              </w:rPr>
              <w:t>实际完成规划编制数量</w:t>
            </w:r>
          </w:p>
        </w:tc>
        <w:tc>
          <w:tcPr>
            <w:tcW w:w="1276" w:type="dxa"/>
            <w:shd w:val="clear" w:color="auto" w:fill="auto"/>
          </w:tcPr>
          <w:p>
            <w:r>
              <w:rPr>
                <w:rFonts w:hint="eastAsia"/>
              </w:rPr>
              <w:t>1项</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质量指标</w:t>
            </w:r>
          </w:p>
        </w:tc>
        <w:tc>
          <w:tcPr>
            <w:tcW w:w="1843" w:type="dxa"/>
            <w:shd w:val="clear" w:color="auto" w:fill="auto"/>
          </w:tcPr>
          <w:p>
            <w:r>
              <w:rPr>
                <w:rFonts w:hint="eastAsia"/>
              </w:rPr>
              <w:t>项目验收合格率</w:t>
            </w:r>
          </w:p>
        </w:tc>
        <w:tc>
          <w:tcPr>
            <w:tcW w:w="3544" w:type="dxa"/>
            <w:shd w:val="clear" w:color="auto" w:fill="auto"/>
          </w:tcPr>
          <w:p>
            <w:r>
              <w:rPr>
                <w:rFonts w:hint="eastAsia"/>
              </w:rPr>
              <w:t>反映工作验收合格率情况</w:t>
            </w:r>
          </w:p>
        </w:tc>
        <w:tc>
          <w:tcPr>
            <w:tcW w:w="1276" w:type="dxa"/>
            <w:shd w:val="clear" w:color="auto" w:fill="auto"/>
          </w:tcPr>
          <w:p>
            <w:r>
              <w:rPr>
                <w:rFonts w:hint="eastAsia"/>
              </w:rPr>
              <w:t>100%</w:t>
            </w:r>
          </w:p>
        </w:tc>
        <w:tc>
          <w:tcPr>
            <w:tcW w:w="4512" w:type="dxa"/>
            <w:shd w:val="clear" w:color="auto" w:fill="auto"/>
          </w:tcPr>
          <w:p>
            <w:r>
              <w:rPr>
                <w:rFonts w:hint="eastAsia"/>
              </w:rPr>
              <w:t>《三河市总体发展规划》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时效指标</w:t>
            </w:r>
          </w:p>
        </w:tc>
        <w:tc>
          <w:tcPr>
            <w:tcW w:w="1843" w:type="dxa"/>
            <w:shd w:val="clear" w:color="auto" w:fill="auto"/>
          </w:tcPr>
          <w:p>
            <w:r>
              <w:rPr>
                <w:rFonts w:hint="eastAsia"/>
              </w:rPr>
              <w:t>工作完成及时率</w:t>
            </w:r>
          </w:p>
        </w:tc>
        <w:tc>
          <w:tcPr>
            <w:tcW w:w="3544" w:type="dxa"/>
            <w:shd w:val="clear" w:color="auto" w:fill="auto"/>
          </w:tcPr>
          <w:p>
            <w:r>
              <w:rPr>
                <w:rFonts w:hint="eastAsia"/>
              </w:rPr>
              <w:t>反映工作完成及时率</w:t>
            </w:r>
          </w:p>
        </w:tc>
        <w:tc>
          <w:tcPr>
            <w:tcW w:w="1276" w:type="dxa"/>
            <w:shd w:val="clear" w:color="auto" w:fill="auto"/>
          </w:tcPr>
          <w:p>
            <w:r>
              <w:rPr>
                <w:rFonts w:hint="eastAsia"/>
              </w:rPr>
              <w:t>100%</w:t>
            </w:r>
          </w:p>
        </w:tc>
        <w:tc>
          <w:tcPr>
            <w:tcW w:w="4512" w:type="dxa"/>
            <w:shd w:val="clear" w:color="auto" w:fill="auto"/>
          </w:tcPr>
          <w:p>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vMerge w:val="continue"/>
            <w:shd w:val="clear" w:color="auto" w:fill="auto"/>
            <w:vAlign w:val="center"/>
          </w:tcPr>
          <w:p/>
        </w:tc>
        <w:tc>
          <w:tcPr>
            <w:tcW w:w="1417" w:type="dxa"/>
            <w:shd w:val="clear" w:color="auto" w:fill="auto"/>
          </w:tcPr>
          <w:p>
            <w:r>
              <w:rPr>
                <w:rFonts w:hint="eastAsia"/>
              </w:rPr>
              <w:t>成本指标</w:t>
            </w:r>
          </w:p>
        </w:tc>
        <w:tc>
          <w:tcPr>
            <w:tcW w:w="1843" w:type="dxa"/>
            <w:shd w:val="clear" w:color="auto" w:fill="auto"/>
          </w:tcPr>
          <w:p>
            <w:r>
              <w:rPr>
                <w:rFonts w:hint="eastAsia"/>
              </w:rPr>
              <w:t>规划委托费</w:t>
            </w:r>
          </w:p>
        </w:tc>
        <w:tc>
          <w:tcPr>
            <w:tcW w:w="3544" w:type="dxa"/>
            <w:shd w:val="clear" w:color="auto" w:fill="auto"/>
          </w:tcPr>
          <w:p>
            <w:r>
              <w:rPr>
                <w:rFonts w:hint="eastAsia"/>
              </w:rPr>
              <w:t>编制规划总计委托费用</w:t>
            </w:r>
          </w:p>
        </w:tc>
        <w:tc>
          <w:tcPr>
            <w:tcW w:w="1276" w:type="dxa"/>
            <w:shd w:val="clear" w:color="auto" w:fill="auto"/>
          </w:tcPr>
          <w:p>
            <w:r>
              <w:rPr>
                <w:rFonts w:hint="eastAsia"/>
              </w:rPr>
              <w:t>≤75万元</w:t>
            </w:r>
          </w:p>
        </w:tc>
        <w:tc>
          <w:tcPr>
            <w:tcW w:w="4512" w:type="dxa"/>
            <w:shd w:val="clear" w:color="auto" w:fill="auto"/>
          </w:tcPr>
          <w:p>
            <w:r>
              <w:rPr>
                <w:rFonts w:hint="eastAsia"/>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17" w:type="dxa"/>
            <w:shd w:val="clear" w:color="auto" w:fill="auto"/>
          </w:tcPr>
          <w:p>
            <w:r>
              <w:rPr>
                <w:rFonts w:hint="eastAsia"/>
              </w:rPr>
              <w:t>社会效益指标</w:t>
            </w:r>
          </w:p>
        </w:tc>
        <w:tc>
          <w:tcPr>
            <w:tcW w:w="1843" w:type="dxa"/>
            <w:shd w:val="clear" w:color="auto" w:fill="auto"/>
          </w:tcPr>
          <w:p>
            <w:r>
              <w:rPr>
                <w:rFonts w:hint="eastAsia"/>
              </w:rPr>
              <w:t>提供依据</w:t>
            </w:r>
          </w:p>
        </w:tc>
        <w:tc>
          <w:tcPr>
            <w:tcW w:w="3544" w:type="dxa"/>
            <w:shd w:val="clear" w:color="auto" w:fill="auto"/>
          </w:tcPr>
          <w:p>
            <w:r>
              <w:rPr>
                <w:rFonts w:hint="eastAsia"/>
              </w:rPr>
              <w:t>对三河市发展规划和城镇建设的影响程度</w:t>
            </w:r>
          </w:p>
        </w:tc>
        <w:tc>
          <w:tcPr>
            <w:tcW w:w="1276" w:type="dxa"/>
            <w:shd w:val="clear" w:color="auto" w:fill="auto"/>
          </w:tcPr>
          <w:p>
            <w:r>
              <w:rPr>
                <w:rFonts w:hint="eastAsia"/>
              </w:rPr>
              <w:t>有所提供依据</w:t>
            </w:r>
          </w:p>
        </w:tc>
        <w:tc>
          <w:tcPr>
            <w:tcW w:w="4512" w:type="dxa"/>
            <w:shd w:val="clear" w:color="auto" w:fill="auto"/>
          </w:tcPr>
          <w:p>
            <w:r>
              <w:rPr>
                <w:rFonts w:hint="eastAsia"/>
              </w:rPr>
              <w:t>《三河市总体发展规划》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47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17" w:type="dxa"/>
            <w:shd w:val="clear" w:color="auto" w:fill="auto"/>
          </w:tcPr>
          <w:p>
            <w:r>
              <w:rPr>
                <w:rFonts w:hint="eastAsia"/>
              </w:rPr>
              <w:t>服务对象满意度指标</w:t>
            </w:r>
          </w:p>
        </w:tc>
        <w:tc>
          <w:tcPr>
            <w:tcW w:w="1843" w:type="dxa"/>
            <w:shd w:val="clear" w:color="auto" w:fill="auto"/>
          </w:tcPr>
          <w:p>
            <w:r>
              <w:rPr>
                <w:rFonts w:hint="eastAsia"/>
              </w:rPr>
              <w:t>使用人员满意度</w:t>
            </w:r>
          </w:p>
        </w:tc>
        <w:tc>
          <w:tcPr>
            <w:tcW w:w="3544" w:type="dxa"/>
            <w:shd w:val="clear" w:color="auto" w:fill="auto"/>
          </w:tcPr>
          <w:p>
            <w:r>
              <w:rPr>
                <w:rFonts w:hint="eastAsia"/>
              </w:rPr>
              <w:t>受益群体调查中，满意和较满意占全部调查人数比例</w:t>
            </w:r>
          </w:p>
        </w:tc>
        <w:tc>
          <w:tcPr>
            <w:tcW w:w="1276" w:type="dxa"/>
            <w:shd w:val="clear" w:color="auto" w:fill="auto"/>
          </w:tcPr>
          <w:p>
            <w:r>
              <w:rPr>
                <w:rFonts w:hint="eastAsia"/>
              </w:rPr>
              <w:t>≥90%</w:t>
            </w:r>
          </w:p>
        </w:tc>
        <w:tc>
          <w:tcPr>
            <w:tcW w:w="4512" w:type="dxa"/>
            <w:shd w:val="clear" w:color="auto" w:fill="auto"/>
          </w:tcPr>
          <w:p>
            <w:r>
              <w:rPr>
                <w:rFonts w:hint="eastAsia"/>
              </w:rPr>
              <w:t>调查问卷</w:t>
            </w:r>
          </w:p>
        </w:tc>
      </w:tr>
    </w:tbl>
    <w:p>
      <w:pPr>
        <w:ind w:firstLine="640" w:firstLineChars="200"/>
        <w:jc w:val="left"/>
        <w:outlineLvl w:val="1"/>
        <w:rPr>
          <w:rFonts w:ascii="Times New Roman" w:hAnsi="Times New Roman" w:eastAsia="黑体" w:cs="Times New Roman"/>
          <w:sz w:val="32"/>
          <w:szCs w:val="32"/>
        </w:rPr>
      </w:pPr>
    </w:p>
    <w:p>
      <w:pPr>
        <w:ind w:firstLine="640" w:firstLineChars="200"/>
        <w:jc w:val="left"/>
        <w:outlineLvl w:val="1"/>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4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1825.80</w:t>
      </w:r>
      <w:r>
        <w:rPr>
          <w:rFonts w:ascii="Times New Roman" w:hAnsi="Times New Roman" w:eastAsia="仿宋_GB2312" w:cs="Times New Roman"/>
          <w:sz w:val="32"/>
          <w:szCs w:val="24"/>
        </w:rPr>
        <w:t>万元。具体内容见下表。</w:t>
      </w:r>
    </w:p>
    <w:bookmarkEnd w:id="142"/>
    <w:p>
      <w:pPr>
        <w:jc w:val="center"/>
        <w:outlineLvl w:val="1"/>
        <w:rPr>
          <w:rFonts w:ascii="方正小标宋_GBK" w:eastAsia="方正小标宋_GBK" w:cs="Times New Roman"/>
          <w:sz w:val="32"/>
        </w:rPr>
      </w:pPr>
      <w:bookmarkStart w:id="143"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43"/>
    </w:p>
    <w:p>
      <w:pPr>
        <w:snapToGrid w:val="0"/>
        <w:jc w:val="left"/>
        <w:outlineLvl w:val="1"/>
        <w:rPr>
          <w:rFonts w:ascii="方正小标宋_GBK" w:eastAsia="方正小标宋_GBK" w:cs="Times New Roman"/>
          <w:sz w:val="32"/>
        </w:rPr>
      </w:pPr>
      <w:r>
        <w:rPr>
          <w:rFonts w:hint="eastAsia"/>
        </w:rPr>
        <w:t>三河</w:t>
      </w:r>
      <w:r>
        <w:t>市</w:t>
      </w:r>
      <w:r>
        <w:rPr>
          <w:rFonts w:hint="eastAsia"/>
        </w:rPr>
        <w:t>住房和城乡建设局</w:t>
      </w:r>
      <w:r>
        <w:t xml:space="preserve">                                                                                                    单位：万元</w:t>
      </w:r>
    </w:p>
    <w:tbl>
      <w:tblPr>
        <w:tblStyle w:val="8"/>
        <w:tblW w:w="154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4"/>
        <w:gridCol w:w="992"/>
        <w:gridCol w:w="993"/>
        <w:gridCol w:w="850"/>
        <w:gridCol w:w="709"/>
        <w:gridCol w:w="567"/>
        <w:gridCol w:w="992"/>
        <w:gridCol w:w="992"/>
        <w:gridCol w:w="993"/>
        <w:gridCol w:w="992"/>
        <w:gridCol w:w="992"/>
        <w:gridCol w:w="851"/>
        <w:gridCol w:w="708"/>
        <w:gridCol w:w="851"/>
        <w:gridCol w:w="850"/>
        <w:gridCol w:w="10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996" w:type="dxa"/>
            <w:gridSpan w:val="2"/>
            <w:vAlign w:val="center"/>
          </w:tcPr>
          <w:p>
            <w:pPr>
              <w:pStyle w:val="12"/>
              <w:rPr>
                <w:sz w:val="18"/>
                <w:szCs w:val="21"/>
              </w:rPr>
            </w:pPr>
            <w:r>
              <w:rPr>
                <w:sz w:val="18"/>
                <w:szCs w:val="21"/>
              </w:rPr>
              <w:t>政府采购项目来源</w:t>
            </w:r>
          </w:p>
        </w:tc>
        <w:tc>
          <w:tcPr>
            <w:tcW w:w="993" w:type="dxa"/>
            <w:vMerge w:val="restart"/>
            <w:vAlign w:val="center"/>
          </w:tcPr>
          <w:p>
            <w:pPr>
              <w:pStyle w:val="12"/>
              <w:rPr>
                <w:sz w:val="18"/>
                <w:szCs w:val="21"/>
              </w:rPr>
            </w:pPr>
            <w:r>
              <w:rPr>
                <w:sz w:val="18"/>
                <w:szCs w:val="21"/>
              </w:rPr>
              <w:t>采购物品名称</w:t>
            </w:r>
          </w:p>
        </w:tc>
        <w:tc>
          <w:tcPr>
            <w:tcW w:w="850" w:type="dxa"/>
            <w:vMerge w:val="restart"/>
            <w:vAlign w:val="center"/>
          </w:tcPr>
          <w:p>
            <w:pPr>
              <w:pStyle w:val="12"/>
              <w:rPr>
                <w:sz w:val="18"/>
                <w:szCs w:val="21"/>
              </w:rPr>
            </w:pPr>
            <w:r>
              <w:rPr>
                <w:sz w:val="18"/>
                <w:szCs w:val="21"/>
              </w:rPr>
              <w:t>政府采购目录序号</w:t>
            </w:r>
          </w:p>
        </w:tc>
        <w:tc>
          <w:tcPr>
            <w:tcW w:w="709" w:type="dxa"/>
            <w:vMerge w:val="restart"/>
            <w:vAlign w:val="center"/>
          </w:tcPr>
          <w:p>
            <w:pPr>
              <w:pStyle w:val="12"/>
              <w:rPr>
                <w:sz w:val="18"/>
                <w:szCs w:val="21"/>
              </w:rPr>
            </w:pPr>
            <w:r>
              <w:rPr>
                <w:sz w:val="18"/>
                <w:szCs w:val="21"/>
              </w:rPr>
              <w:t>计量单位</w:t>
            </w:r>
          </w:p>
        </w:tc>
        <w:tc>
          <w:tcPr>
            <w:tcW w:w="567" w:type="dxa"/>
            <w:vMerge w:val="restart"/>
            <w:vAlign w:val="center"/>
          </w:tcPr>
          <w:p>
            <w:pPr>
              <w:pStyle w:val="12"/>
              <w:rPr>
                <w:sz w:val="18"/>
                <w:szCs w:val="21"/>
              </w:rPr>
            </w:pPr>
            <w:r>
              <w:rPr>
                <w:sz w:val="18"/>
                <w:szCs w:val="21"/>
              </w:rPr>
              <w:t>数量</w:t>
            </w:r>
          </w:p>
        </w:tc>
        <w:tc>
          <w:tcPr>
            <w:tcW w:w="992" w:type="dxa"/>
            <w:vMerge w:val="restart"/>
            <w:vAlign w:val="center"/>
          </w:tcPr>
          <w:p>
            <w:pPr>
              <w:pStyle w:val="12"/>
              <w:rPr>
                <w:sz w:val="18"/>
                <w:szCs w:val="21"/>
              </w:rPr>
            </w:pPr>
            <w:r>
              <w:rPr>
                <w:sz w:val="18"/>
                <w:szCs w:val="21"/>
              </w:rPr>
              <w:t>单价</w:t>
            </w:r>
          </w:p>
        </w:tc>
        <w:tc>
          <w:tcPr>
            <w:tcW w:w="7229" w:type="dxa"/>
            <w:gridSpan w:val="8"/>
            <w:vAlign w:val="center"/>
          </w:tcPr>
          <w:p>
            <w:pPr>
              <w:pStyle w:val="12"/>
              <w:rPr>
                <w:sz w:val="18"/>
                <w:szCs w:val="21"/>
              </w:rPr>
            </w:pPr>
            <w:r>
              <w:rPr>
                <w:sz w:val="18"/>
                <w:szCs w:val="21"/>
              </w:rPr>
              <w:t>政府采购金额（当年</w:t>
            </w:r>
            <w:r>
              <w:rPr>
                <w:rFonts w:hint="eastAsia"/>
                <w:sz w:val="18"/>
                <w:szCs w:val="21"/>
                <w:lang w:eastAsia="zh-CN"/>
              </w:rPr>
              <w:t>单位</w:t>
            </w:r>
            <w:r>
              <w:rPr>
                <w:sz w:val="18"/>
                <w:szCs w:val="21"/>
              </w:rPr>
              <w:t>预算安排资金）</w:t>
            </w:r>
          </w:p>
        </w:tc>
        <w:tc>
          <w:tcPr>
            <w:tcW w:w="1078" w:type="dxa"/>
            <w:vMerge w:val="restart"/>
            <w:vAlign w:val="center"/>
          </w:tcPr>
          <w:p>
            <w:pPr>
              <w:pStyle w:val="12"/>
              <w:rPr>
                <w:sz w:val="18"/>
                <w:szCs w:val="21"/>
              </w:rPr>
            </w:pPr>
            <w:r>
              <w:rPr>
                <w:sz w:val="18"/>
                <w:szCs w:val="21"/>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004" w:type="dxa"/>
            <w:vAlign w:val="center"/>
          </w:tcPr>
          <w:p>
            <w:pPr>
              <w:pStyle w:val="12"/>
              <w:rPr>
                <w:sz w:val="18"/>
                <w:szCs w:val="21"/>
              </w:rPr>
            </w:pPr>
            <w:r>
              <w:rPr>
                <w:sz w:val="18"/>
                <w:szCs w:val="21"/>
              </w:rPr>
              <w:t>项目名称</w:t>
            </w:r>
          </w:p>
        </w:tc>
        <w:tc>
          <w:tcPr>
            <w:tcW w:w="992" w:type="dxa"/>
            <w:vAlign w:val="center"/>
          </w:tcPr>
          <w:p>
            <w:pPr>
              <w:pStyle w:val="12"/>
              <w:rPr>
                <w:sz w:val="18"/>
                <w:szCs w:val="21"/>
              </w:rPr>
            </w:pPr>
            <w:r>
              <w:rPr>
                <w:sz w:val="18"/>
                <w:szCs w:val="21"/>
              </w:rPr>
              <w:t>预算    资金</w:t>
            </w:r>
          </w:p>
        </w:tc>
        <w:tc>
          <w:tcPr>
            <w:tcW w:w="993" w:type="dxa"/>
            <w:vMerge w:val="continue"/>
          </w:tcPr>
          <w:p>
            <w:pPr>
              <w:rPr>
                <w:sz w:val="18"/>
                <w:szCs w:val="21"/>
              </w:rPr>
            </w:pPr>
          </w:p>
        </w:tc>
        <w:tc>
          <w:tcPr>
            <w:tcW w:w="850" w:type="dxa"/>
            <w:vMerge w:val="continue"/>
          </w:tcPr>
          <w:p>
            <w:pPr>
              <w:rPr>
                <w:sz w:val="18"/>
                <w:szCs w:val="21"/>
              </w:rPr>
            </w:pPr>
          </w:p>
        </w:tc>
        <w:tc>
          <w:tcPr>
            <w:tcW w:w="709" w:type="dxa"/>
            <w:vMerge w:val="continue"/>
          </w:tcPr>
          <w:p>
            <w:pPr>
              <w:rPr>
                <w:sz w:val="18"/>
                <w:szCs w:val="21"/>
              </w:rPr>
            </w:pPr>
          </w:p>
        </w:tc>
        <w:tc>
          <w:tcPr>
            <w:tcW w:w="567" w:type="dxa"/>
            <w:vMerge w:val="continue"/>
          </w:tcPr>
          <w:p>
            <w:pPr>
              <w:rPr>
                <w:sz w:val="18"/>
                <w:szCs w:val="21"/>
              </w:rPr>
            </w:pPr>
          </w:p>
        </w:tc>
        <w:tc>
          <w:tcPr>
            <w:tcW w:w="992" w:type="dxa"/>
            <w:vMerge w:val="continue"/>
          </w:tcPr>
          <w:p>
            <w:pPr>
              <w:rPr>
                <w:sz w:val="18"/>
                <w:szCs w:val="21"/>
              </w:rPr>
            </w:pPr>
          </w:p>
        </w:tc>
        <w:tc>
          <w:tcPr>
            <w:tcW w:w="992" w:type="dxa"/>
            <w:vAlign w:val="center"/>
          </w:tcPr>
          <w:p>
            <w:pPr>
              <w:pStyle w:val="12"/>
              <w:rPr>
                <w:sz w:val="18"/>
                <w:szCs w:val="21"/>
              </w:rPr>
            </w:pPr>
            <w:r>
              <w:rPr>
                <w:sz w:val="18"/>
                <w:szCs w:val="21"/>
              </w:rPr>
              <w:t>合计</w:t>
            </w:r>
          </w:p>
        </w:tc>
        <w:tc>
          <w:tcPr>
            <w:tcW w:w="993" w:type="dxa"/>
            <w:vAlign w:val="center"/>
          </w:tcPr>
          <w:p>
            <w:pPr>
              <w:pStyle w:val="12"/>
              <w:rPr>
                <w:sz w:val="18"/>
                <w:szCs w:val="21"/>
              </w:rPr>
            </w:pPr>
            <w:r>
              <w:rPr>
                <w:sz w:val="18"/>
                <w:szCs w:val="21"/>
              </w:rPr>
              <w:t>一般公共预算拨款</w:t>
            </w:r>
          </w:p>
        </w:tc>
        <w:tc>
          <w:tcPr>
            <w:tcW w:w="992" w:type="dxa"/>
            <w:vAlign w:val="center"/>
          </w:tcPr>
          <w:p>
            <w:pPr>
              <w:pStyle w:val="12"/>
              <w:rPr>
                <w:sz w:val="18"/>
                <w:szCs w:val="21"/>
              </w:rPr>
            </w:pPr>
            <w:r>
              <w:rPr>
                <w:sz w:val="18"/>
                <w:szCs w:val="21"/>
              </w:rPr>
              <w:t>基金预算拨款</w:t>
            </w:r>
          </w:p>
        </w:tc>
        <w:tc>
          <w:tcPr>
            <w:tcW w:w="992" w:type="dxa"/>
            <w:vAlign w:val="center"/>
          </w:tcPr>
          <w:p>
            <w:pPr>
              <w:pStyle w:val="12"/>
              <w:rPr>
                <w:sz w:val="18"/>
                <w:szCs w:val="21"/>
              </w:rPr>
            </w:pPr>
            <w:r>
              <w:rPr>
                <w:sz w:val="18"/>
                <w:szCs w:val="21"/>
              </w:rPr>
              <w:t>国有资本经营预算拨款</w:t>
            </w:r>
          </w:p>
        </w:tc>
        <w:tc>
          <w:tcPr>
            <w:tcW w:w="851" w:type="dxa"/>
            <w:vAlign w:val="center"/>
          </w:tcPr>
          <w:p>
            <w:pPr>
              <w:pStyle w:val="12"/>
              <w:rPr>
                <w:sz w:val="18"/>
                <w:szCs w:val="21"/>
              </w:rPr>
            </w:pPr>
            <w:r>
              <w:rPr>
                <w:sz w:val="18"/>
                <w:szCs w:val="21"/>
              </w:rPr>
              <w:t>财政专户核拨</w:t>
            </w:r>
          </w:p>
        </w:tc>
        <w:tc>
          <w:tcPr>
            <w:tcW w:w="708" w:type="dxa"/>
            <w:vAlign w:val="center"/>
          </w:tcPr>
          <w:p>
            <w:pPr>
              <w:pStyle w:val="12"/>
              <w:rPr>
                <w:sz w:val="18"/>
                <w:szCs w:val="21"/>
              </w:rPr>
            </w:pPr>
            <w:r>
              <w:rPr>
                <w:sz w:val="18"/>
                <w:szCs w:val="21"/>
              </w:rPr>
              <w:t>单位    资金</w:t>
            </w:r>
          </w:p>
        </w:tc>
        <w:tc>
          <w:tcPr>
            <w:tcW w:w="851" w:type="dxa"/>
            <w:vAlign w:val="center"/>
          </w:tcPr>
          <w:p>
            <w:pPr>
              <w:pStyle w:val="12"/>
              <w:rPr>
                <w:sz w:val="18"/>
                <w:szCs w:val="21"/>
              </w:rPr>
            </w:pPr>
            <w:r>
              <w:rPr>
                <w:sz w:val="18"/>
                <w:szCs w:val="21"/>
              </w:rPr>
              <w:t>财政拨    款结转</w:t>
            </w:r>
          </w:p>
        </w:tc>
        <w:tc>
          <w:tcPr>
            <w:tcW w:w="850" w:type="dxa"/>
            <w:vAlign w:val="center"/>
          </w:tcPr>
          <w:p>
            <w:pPr>
              <w:pStyle w:val="12"/>
              <w:rPr>
                <w:sz w:val="18"/>
                <w:szCs w:val="21"/>
              </w:rPr>
            </w:pPr>
            <w:r>
              <w:rPr>
                <w:sz w:val="18"/>
                <w:szCs w:val="21"/>
              </w:rPr>
              <w:t>非财政    拨款结    转结余</w:t>
            </w:r>
          </w:p>
        </w:tc>
        <w:tc>
          <w:tcPr>
            <w:tcW w:w="1078" w:type="dxa"/>
            <w:vMerge w:val="continue"/>
          </w:tcPr>
          <w:p>
            <w:pPr>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04" w:type="dxa"/>
            <w:vAlign w:val="center"/>
          </w:tcPr>
          <w:p>
            <w:pPr>
              <w:pStyle w:val="16"/>
              <w:rPr>
                <w:sz w:val="18"/>
                <w:szCs w:val="21"/>
              </w:rPr>
            </w:pPr>
            <w:r>
              <w:rPr>
                <w:sz w:val="18"/>
                <w:szCs w:val="21"/>
              </w:rPr>
              <w:t>合  计</w:t>
            </w:r>
          </w:p>
        </w:tc>
        <w:tc>
          <w:tcPr>
            <w:tcW w:w="992" w:type="dxa"/>
            <w:vAlign w:val="center"/>
          </w:tcPr>
          <w:p>
            <w:pPr>
              <w:pStyle w:val="17"/>
              <w:rPr>
                <w:sz w:val="18"/>
                <w:szCs w:val="21"/>
              </w:rPr>
            </w:pPr>
          </w:p>
        </w:tc>
        <w:tc>
          <w:tcPr>
            <w:tcW w:w="993" w:type="dxa"/>
            <w:vAlign w:val="center"/>
          </w:tcPr>
          <w:p>
            <w:pPr>
              <w:pStyle w:val="18"/>
              <w:rPr>
                <w:sz w:val="18"/>
                <w:szCs w:val="21"/>
              </w:rPr>
            </w:pPr>
          </w:p>
        </w:tc>
        <w:tc>
          <w:tcPr>
            <w:tcW w:w="850" w:type="dxa"/>
            <w:vAlign w:val="center"/>
          </w:tcPr>
          <w:p>
            <w:pPr>
              <w:pStyle w:val="18"/>
              <w:rPr>
                <w:sz w:val="18"/>
                <w:szCs w:val="21"/>
              </w:rPr>
            </w:pPr>
          </w:p>
        </w:tc>
        <w:tc>
          <w:tcPr>
            <w:tcW w:w="709" w:type="dxa"/>
            <w:vAlign w:val="center"/>
          </w:tcPr>
          <w:p>
            <w:pPr>
              <w:pStyle w:val="16"/>
              <w:rPr>
                <w:sz w:val="18"/>
                <w:szCs w:val="21"/>
              </w:rPr>
            </w:pPr>
          </w:p>
        </w:tc>
        <w:tc>
          <w:tcPr>
            <w:tcW w:w="567" w:type="dxa"/>
            <w:vAlign w:val="center"/>
          </w:tcPr>
          <w:p>
            <w:pPr>
              <w:pStyle w:val="17"/>
              <w:jc w:val="center"/>
              <w:rPr>
                <w:sz w:val="18"/>
                <w:szCs w:val="21"/>
              </w:rPr>
            </w:pPr>
          </w:p>
        </w:tc>
        <w:tc>
          <w:tcPr>
            <w:tcW w:w="992" w:type="dxa"/>
            <w:vAlign w:val="center"/>
          </w:tcPr>
          <w:p>
            <w:pPr>
              <w:pStyle w:val="17"/>
              <w:rPr>
                <w:sz w:val="18"/>
                <w:szCs w:val="21"/>
              </w:rPr>
            </w:pPr>
          </w:p>
        </w:tc>
        <w:tc>
          <w:tcPr>
            <w:tcW w:w="992" w:type="dxa"/>
            <w:vAlign w:val="center"/>
          </w:tcPr>
          <w:p>
            <w:pPr>
              <w:pStyle w:val="17"/>
              <w:rPr>
                <w:sz w:val="18"/>
                <w:szCs w:val="21"/>
              </w:rPr>
            </w:pPr>
            <w:r>
              <w:rPr>
                <w:sz w:val="18"/>
                <w:szCs w:val="21"/>
              </w:rPr>
              <w:t>1825.80</w:t>
            </w:r>
          </w:p>
        </w:tc>
        <w:tc>
          <w:tcPr>
            <w:tcW w:w="993" w:type="dxa"/>
            <w:vAlign w:val="center"/>
          </w:tcPr>
          <w:p>
            <w:pPr>
              <w:pStyle w:val="17"/>
              <w:rPr>
                <w:sz w:val="18"/>
                <w:szCs w:val="21"/>
              </w:rPr>
            </w:pPr>
            <w:r>
              <w:rPr>
                <w:sz w:val="18"/>
                <w:szCs w:val="21"/>
              </w:rPr>
              <w:t>1715.80</w:t>
            </w:r>
          </w:p>
        </w:tc>
        <w:tc>
          <w:tcPr>
            <w:tcW w:w="992" w:type="dxa"/>
            <w:vAlign w:val="center"/>
          </w:tcPr>
          <w:p>
            <w:pPr>
              <w:pStyle w:val="17"/>
              <w:rPr>
                <w:sz w:val="18"/>
                <w:szCs w:val="21"/>
              </w:rPr>
            </w:pPr>
            <w:r>
              <w:rPr>
                <w:sz w:val="18"/>
                <w:szCs w:val="21"/>
              </w:rPr>
              <w:t>110.00</w:t>
            </w:r>
          </w:p>
        </w:tc>
        <w:tc>
          <w:tcPr>
            <w:tcW w:w="992" w:type="dxa"/>
            <w:vAlign w:val="center"/>
          </w:tcPr>
          <w:p>
            <w:pPr>
              <w:pStyle w:val="17"/>
              <w:rPr>
                <w:sz w:val="18"/>
                <w:szCs w:val="21"/>
              </w:rPr>
            </w:pPr>
          </w:p>
        </w:tc>
        <w:tc>
          <w:tcPr>
            <w:tcW w:w="851" w:type="dxa"/>
            <w:vAlign w:val="center"/>
          </w:tcPr>
          <w:p>
            <w:pPr>
              <w:pStyle w:val="17"/>
              <w:rPr>
                <w:sz w:val="18"/>
                <w:szCs w:val="21"/>
              </w:rPr>
            </w:pPr>
          </w:p>
        </w:tc>
        <w:tc>
          <w:tcPr>
            <w:tcW w:w="708" w:type="dxa"/>
            <w:vAlign w:val="center"/>
          </w:tcPr>
          <w:p>
            <w:pPr>
              <w:pStyle w:val="17"/>
              <w:rPr>
                <w:sz w:val="18"/>
                <w:szCs w:val="21"/>
              </w:rPr>
            </w:pPr>
          </w:p>
        </w:tc>
        <w:tc>
          <w:tcPr>
            <w:tcW w:w="851" w:type="dxa"/>
            <w:vAlign w:val="center"/>
          </w:tcPr>
          <w:p>
            <w:pPr>
              <w:pStyle w:val="17"/>
              <w:rPr>
                <w:sz w:val="18"/>
                <w:szCs w:val="21"/>
              </w:rPr>
            </w:pPr>
          </w:p>
        </w:tc>
        <w:tc>
          <w:tcPr>
            <w:tcW w:w="850" w:type="dxa"/>
            <w:vAlign w:val="center"/>
          </w:tcPr>
          <w:p>
            <w:pPr>
              <w:pStyle w:val="17"/>
              <w:rPr>
                <w:sz w:val="18"/>
                <w:szCs w:val="21"/>
              </w:rPr>
            </w:pPr>
          </w:p>
        </w:tc>
        <w:tc>
          <w:tcPr>
            <w:tcW w:w="1078" w:type="dxa"/>
            <w:vAlign w:val="center"/>
          </w:tcPr>
          <w:p>
            <w:pPr>
              <w:pStyle w:val="17"/>
              <w:rPr>
                <w:sz w:val="18"/>
                <w:szCs w:val="21"/>
              </w:rPr>
            </w:pPr>
            <w:r>
              <w:rPr>
                <w:sz w:val="18"/>
                <w:szCs w:val="21"/>
              </w:rPr>
              <w:t>1088.80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04" w:type="dxa"/>
            <w:vAlign w:val="center"/>
          </w:tcPr>
          <w:p>
            <w:pPr>
              <w:pStyle w:val="16"/>
              <w:rPr>
                <w:sz w:val="18"/>
                <w:szCs w:val="21"/>
              </w:rPr>
            </w:pPr>
            <w:r>
              <w:rPr>
                <w:sz w:val="18"/>
                <w:szCs w:val="21"/>
              </w:rPr>
              <w:t>三河市住房和城乡建设局本级小计</w:t>
            </w:r>
          </w:p>
        </w:tc>
        <w:tc>
          <w:tcPr>
            <w:tcW w:w="992" w:type="dxa"/>
            <w:vAlign w:val="center"/>
          </w:tcPr>
          <w:p>
            <w:pPr>
              <w:pStyle w:val="17"/>
              <w:rPr>
                <w:sz w:val="18"/>
                <w:szCs w:val="21"/>
              </w:rPr>
            </w:pPr>
          </w:p>
        </w:tc>
        <w:tc>
          <w:tcPr>
            <w:tcW w:w="993" w:type="dxa"/>
            <w:vAlign w:val="center"/>
          </w:tcPr>
          <w:p>
            <w:pPr>
              <w:pStyle w:val="18"/>
              <w:rPr>
                <w:sz w:val="18"/>
                <w:szCs w:val="21"/>
              </w:rPr>
            </w:pPr>
          </w:p>
        </w:tc>
        <w:tc>
          <w:tcPr>
            <w:tcW w:w="850" w:type="dxa"/>
            <w:vAlign w:val="center"/>
          </w:tcPr>
          <w:p>
            <w:pPr>
              <w:pStyle w:val="18"/>
              <w:rPr>
                <w:sz w:val="18"/>
                <w:szCs w:val="21"/>
              </w:rPr>
            </w:pPr>
          </w:p>
        </w:tc>
        <w:tc>
          <w:tcPr>
            <w:tcW w:w="709" w:type="dxa"/>
            <w:vAlign w:val="center"/>
          </w:tcPr>
          <w:p>
            <w:pPr>
              <w:pStyle w:val="16"/>
              <w:rPr>
                <w:sz w:val="18"/>
                <w:szCs w:val="21"/>
              </w:rPr>
            </w:pPr>
          </w:p>
        </w:tc>
        <w:tc>
          <w:tcPr>
            <w:tcW w:w="567" w:type="dxa"/>
            <w:vAlign w:val="center"/>
          </w:tcPr>
          <w:p>
            <w:pPr>
              <w:pStyle w:val="17"/>
              <w:jc w:val="center"/>
              <w:rPr>
                <w:sz w:val="18"/>
                <w:szCs w:val="21"/>
              </w:rPr>
            </w:pPr>
          </w:p>
        </w:tc>
        <w:tc>
          <w:tcPr>
            <w:tcW w:w="992" w:type="dxa"/>
            <w:vAlign w:val="center"/>
          </w:tcPr>
          <w:p>
            <w:pPr>
              <w:pStyle w:val="17"/>
              <w:rPr>
                <w:sz w:val="18"/>
                <w:szCs w:val="21"/>
              </w:rPr>
            </w:pPr>
          </w:p>
        </w:tc>
        <w:tc>
          <w:tcPr>
            <w:tcW w:w="992" w:type="dxa"/>
            <w:vAlign w:val="center"/>
          </w:tcPr>
          <w:p>
            <w:pPr>
              <w:pStyle w:val="17"/>
              <w:rPr>
                <w:sz w:val="18"/>
                <w:szCs w:val="21"/>
              </w:rPr>
            </w:pPr>
            <w:r>
              <w:rPr>
                <w:sz w:val="18"/>
                <w:szCs w:val="21"/>
              </w:rPr>
              <w:t>1825.80</w:t>
            </w:r>
          </w:p>
        </w:tc>
        <w:tc>
          <w:tcPr>
            <w:tcW w:w="993" w:type="dxa"/>
            <w:vAlign w:val="center"/>
          </w:tcPr>
          <w:p>
            <w:pPr>
              <w:pStyle w:val="17"/>
              <w:rPr>
                <w:sz w:val="18"/>
                <w:szCs w:val="21"/>
              </w:rPr>
            </w:pPr>
            <w:r>
              <w:rPr>
                <w:sz w:val="18"/>
                <w:szCs w:val="21"/>
              </w:rPr>
              <w:t>1715.80</w:t>
            </w:r>
          </w:p>
        </w:tc>
        <w:tc>
          <w:tcPr>
            <w:tcW w:w="992" w:type="dxa"/>
            <w:vAlign w:val="center"/>
          </w:tcPr>
          <w:p>
            <w:pPr>
              <w:pStyle w:val="17"/>
              <w:rPr>
                <w:sz w:val="18"/>
                <w:szCs w:val="21"/>
              </w:rPr>
            </w:pPr>
            <w:r>
              <w:rPr>
                <w:sz w:val="18"/>
                <w:szCs w:val="21"/>
              </w:rPr>
              <w:t>110.00</w:t>
            </w:r>
          </w:p>
        </w:tc>
        <w:tc>
          <w:tcPr>
            <w:tcW w:w="992" w:type="dxa"/>
            <w:vAlign w:val="center"/>
          </w:tcPr>
          <w:p>
            <w:pPr>
              <w:pStyle w:val="17"/>
              <w:rPr>
                <w:sz w:val="18"/>
                <w:szCs w:val="21"/>
              </w:rPr>
            </w:pPr>
          </w:p>
        </w:tc>
        <w:tc>
          <w:tcPr>
            <w:tcW w:w="851" w:type="dxa"/>
            <w:vAlign w:val="center"/>
          </w:tcPr>
          <w:p>
            <w:pPr>
              <w:pStyle w:val="17"/>
              <w:rPr>
                <w:sz w:val="18"/>
                <w:szCs w:val="21"/>
              </w:rPr>
            </w:pPr>
          </w:p>
        </w:tc>
        <w:tc>
          <w:tcPr>
            <w:tcW w:w="708" w:type="dxa"/>
            <w:vAlign w:val="center"/>
          </w:tcPr>
          <w:p>
            <w:pPr>
              <w:pStyle w:val="17"/>
              <w:rPr>
                <w:sz w:val="18"/>
                <w:szCs w:val="21"/>
              </w:rPr>
            </w:pPr>
          </w:p>
        </w:tc>
        <w:tc>
          <w:tcPr>
            <w:tcW w:w="851" w:type="dxa"/>
            <w:vAlign w:val="center"/>
          </w:tcPr>
          <w:p>
            <w:pPr>
              <w:pStyle w:val="17"/>
              <w:rPr>
                <w:sz w:val="18"/>
                <w:szCs w:val="21"/>
              </w:rPr>
            </w:pPr>
          </w:p>
        </w:tc>
        <w:tc>
          <w:tcPr>
            <w:tcW w:w="850" w:type="dxa"/>
            <w:vAlign w:val="center"/>
          </w:tcPr>
          <w:p>
            <w:pPr>
              <w:pStyle w:val="17"/>
              <w:rPr>
                <w:sz w:val="18"/>
                <w:szCs w:val="21"/>
              </w:rPr>
            </w:pPr>
          </w:p>
        </w:tc>
        <w:tc>
          <w:tcPr>
            <w:tcW w:w="1078" w:type="dxa"/>
            <w:vAlign w:val="center"/>
          </w:tcPr>
          <w:p>
            <w:pPr>
              <w:pStyle w:val="17"/>
              <w:rPr>
                <w:sz w:val="18"/>
                <w:szCs w:val="21"/>
              </w:rPr>
            </w:pPr>
            <w:r>
              <w:rPr>
                <w:sz w:val="18"/>
                <w:szCs w:val="21"/>
              </w:rPr>
              <w:t>1088.80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04" w:type="dxa"/>
            <w:vAlign w:val="center"/>
          </w:tcPr>
          <w:p>
            <w:pPr>
              <w:pStyle w:val="14"/>
              <w:ind w:left="420"/>
              <w:rPr>
                <w:sz w:val="18"/>
                <w:szCs w:val="21"/>
              </w:rPr>
            </w:pPr>
            <w:r>
              <w:rPr>
                <w:sz w:val="18"/>
                <w:szCs w:val="21"/>
              </w:rPr>
              <w:t>泃阳大街绿化隔离带挡雪板拆安工程（园林）</w:t>
            </w:r>
          </w:p>
        </w:tc>
        <w:tc>
          <w:tcPr>
            <w:tcW w:w="992" w:type="dxa"/>
            <w:vAlign w:val="center"/>
          </w:tcPr>
          <w:p>
            <w:pPr>
              <w:pStyle w:val="13"/>
              <w:rPr>
                <w:sz w:val="18"/>
                <w:szCs w:val="21"/>
              </w:rPr>
            </w:pPr>
            <w:r>
              <w:rPr>
                <w:sz w:val="18"/>
                <w:szCs w:val="21"/>
              </w:rPr>
              <w:t>65.00</w:t>
            </w:r>
          </w:p>
        </w:tc>
        <w:tc>
          <w:tcPr>
            <w:tcW w:w="993" w:type="dxa"/>
            <w:vAlign w:val="center"/>
          </w:tcPr>
          <w:p>
            <w:pPr>
              <w:pStyle w:val="14"/>
              <w:rPr>
                <w:sz w:val="18"/>
                <w:szCs w:val="21"/>
              </w:rPr>
            </w:pPr>
            <w:r>
              <w:rPr>
                <w:sz w:val="18"/>
                <w:szCs w:val="21"/>
              </w:rPr>
              <w:t>罩棚</w:t>
            </w:r>
          </w:p>
        </w:tc>
        <w:tc>
          <w:tcPr>
            <w:tcW w:w="850" w:type="dxa"/>
            <w:vAlign w:val="center"/>
          </w:tcPr>
          <w:p>
            <w:pPr>
              <w:pStyle w:val="14"/>
              <w:rPr>
                <w:sz w:val="18"/>
                <w:szCs w:val="21"/>
              </w:rPr>
            </w:pPr>
            <w:r>
              <w:rPr>
                <w:sz w:val="18"/>
                <w:szCs w:val="21"/>
              </w:rPr>
              <w:t>A010322</w:t>
            </w:r>
          </w:p>
        </w:tc>
        <w:tc>
          <w:tcPr>
            <w:tcW w:w="709" w:type="dxa"/>
            <w:vAlign w:val="center"/>
          </w:tcPr>
          <w:p>
            <w:pPr>
              <w:pStyle w:val="15"/>
              <w:rPr>
                <w:sz w:val="18"/>
                <w:szCs w:val="21"/>
              </w:rPr>
            </w:pPr>
            <w:r>
              <w:rPr>
                <w:sz w:val="18"/>
                <w:szCs w:val="21"/>
              </w:rPr>
              <w:t>项</w:t>
            </w:r>
          </w:p>
        </w:tc>
        <w:tc>
          <w:tcPr>
            <w:tcW w:w="567" w:type="dxa"/>
            <w:vAlign w:val="center"/>
          </w:tcPr>
          <w:p>
            <w:pPr>
              <w:pStyle w:val="13"/>
              <w:jc w:val="center"/>
              <w:rPr>
                <w:sz w:val="18"/>
                <w:szCs w:val="21"/>
              </w:rPr>
            </w:pPr>
            <w:r>
              <w:rPr>
                <w:sz w:val="18"/>
                <w:szCs w:val="21"/>
              </w:rPr>
              <w:t>1</w:t>
            </w:r>
          </w:p>
        </w:tc>
        <w:tc>
          <w:tcPr>
            <w:tcW w:w="992" w:type="dxa"/>
            <w:vAlign w:val="center"/>
          </w:tcPr>
          <w:p>
            <w:pPr>
              <w:pStyle w:val="13"/>
              <w:rPr>
                <w:sz w:val="18"/>
                <w:szCs w:val="21"/>
              </w:rPr>
            </w:pPr>
            <w:r>
              <w:rPr>
                <w:sz w:val="18"/>
                <w:szCs w:val="21"/>
              </w:rPr>
              <w:t>50.00</w:t>
            </w:r>
          </w:p>
        </w:tc>
        <w:tc>
          <w:tcPr>
            <w:tcW w:w="992" w:type="dxa"/>
            <w:vAlign w:val="center"/>
          </w:tcPr>
          <w:p>
            <w:pPr>
              <w:pStyle w:val="13"/>
              <w:rPr>
                <w:sz w:val="18"/>
                <w:szCs w:val="21"/>
              </w:rPr>
            </w:pPr>
            <w:r>
              <w:rPr>
                <w:sz w:val="18"/>
                <w:szCs w:val="21"/>
              </w:rPr>
              <w:t>50.00</w:t>
            </w:r>
          </w:p>
        </w:tc>
        <w:tc>
          <w:tcPr>
            <w:tcW w:w="993" w:type="dxa"/>
            <w:vAlign w:val="center"/>
          </w:tcPr>
          <w:p>
            <w:pPr>
              <w:pStyle w:val="13"/>
              <w:rPr>
                <w:sz w:val="18"/>
                <w:szCs w:val="21"/>
              </w:rPr>
            </w:pPr>
            <w:r>
              <w:rPr>
                <w:sz w:val="18"/>
                <w:szCs w:val="21"/>
              </w:rPr>
              <w:t>50.00</w:t>
            </w:r>
          </w:p>
        </w:tc>
        <w:tc>
          <w:tcPr>
            <w:tcW w:w="992" w:type="dxa"/>
            <w:vAlign w:val="center"/>
          </w:tcPr>
          <w:p>
            <w:pPr>
              <w:pStyle w:val="13"/>
              <w:rPr>
                <w:sz w:val="18"/>
                <w:szCs w:val="21"/>
              </w:rPr>
            </w:pPr>
          </w:p>
        </w:tc>
        <w:tc>
          <w:tcPr>
            <w:tcW w:w="992" w:type="dxa"/>
            <w:vAlign w:val="center"/>
          </w:tcPr>
          <w:p>
            <w:pPr>
              <w:pStyle w:val="13"/>
              <w:rPr>
                <w:sz w:val="18"/>
                <w:szCs w:val="21"/>
              </w:rPr>
            </w:pPr>
          </w:p>
        </w:tc>
        <w:tc>
          <w:tcPr>
            <w:tcW w:w="851" w:type="dxa"/>
            <w:vAlign w:val="center"/>
          </w:tcPr>
          <w:p>
            <w:pPr>
              <w:pStyle w:val="13"/>
              <w:rPr>
                <w:sz w:val="18"/>
                <w:szCs w:val="21"/>
              </w:rPr>
            </w:pPr>
          </w:p>
        </w:tc>
        <w:tc>
          <w:tcPr>
            <w:tcW w:w="708" w:type="dxa"/>
            <w:vAlign w:val="center"/>
          </w:tcPr>
          <w:p>
            <w:pPr>
              <w:pStyle w:val="13"/>
              <w:rPr>
                <w:sz w:val="18"/>
                <w:szCs w:val="21"/>
              </w:rPr>
            </w:pPr>
          </w:p>
        </w:tc>
        <w:tc>
          <w:tcPr>
            <w:tcW w:w="851" w:type="dxa"/>
            <w:vAlign w:val="center"/>
          </w:tcPr>
          <w:p>
            <w:pPr>
              <w:pStyle w:val="13"/>
              <w:rPr>
                <w:sz w:val="18"/>
                <w:szCs w:val="21"/>
              </w:rPr>
            </w:pPr>
          </w:p>
        </w:tc>
        <w:tc>
          <w:tcPr>
            <w:tcW w:w="850" w:type="dxa"/>
            <w:vAlign w:val="center"/>
          </w:tcPr>
          <w:p>
            <w:pPr>
              <w:pStyle w:val="13"/>
              <w:rPr>
                <w:sz w:val="18"/>
                <w:szCs w:val="21"/>
              </w:rPr>
            </w:pPr>
          </w:p>
        </w:tc>
        <w:tc>
          <w:tcPr>
            <w:tcW w:w="1078" w:type="dxa"/>
            <w:vAlign w:val="center"/>
          </w:tcPr>
          <w:p>
            <w:pPr>
              <w:pStyle w:val="13"/>
              <w:rPr>
                <w:sz w:val="18"/>
                <w:szCs w:val="21"/>
              </w:rPr>
            </w:pPr>
            <w:r>
              <w:rPr>
                <w:sz w:val="18"/>
                <w:szCs w:val="21"/>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04" w:type="dxa"/>
            <w:vAlign w:val="center"/>
          </w:tcPr>
          <w:p>
            <w:pPr>
              <w:pStyle w:val="14"/>
              <w:ind w:left="420"/>
              <w:rPr>
                <w:sz w:val="18"/>
                <w:szCs w:val="21"/>
              </w:rPr>
            </w:pPr>
            <w:r>
              <w:rPr>
                <w:sz w:val="18"/>
                <w:szCs w:val="21"/>
              </w:rPr>
              <w:t>机关综合管理业务费</w:t>
            </w:r>
          </w:p>
        </w:tc>
        <w:tc>
          <w:tcPr>
            <w:tcW w:w="992" w:type="dxa"/>
            <w:vAlign w:val="center"/>
          </w:tcPr>
          <w:p>
            <w:pPr>
              <w:pStyle w:val="13"/>
              <w:rPr>
                <w:sz w:val="18"/>
                <w:szCs w:val="21"/>
              </w:rPr>
            </w:pPr>
            <w:r>
              <w:rPr>
                <w:sz w:val="18"/>
                <w:szCs w:val="21"/>
              </w:rPr>
              <w:t>138.00</w:t>
            </w:r>
          </w:p>
        </w:tc>
        <w:tc>
          <w:tcPr>
            <w:tcW w:w="993" w:type="dxa"/>
            <w:vAlign w:val="center"/>
          </w:tcPr>
          <w:p>
            <w:pPr>
              <w:pStyle w:val="14"/>
              <w:rPr>
                <w:sz w:val="18"/>
                <w:szCs w:val="21"/>
              </w:rPr>
            </w:pPr>
            <w:r>
              <w:rPr>
                <w:sz w:val="18"/>
                <w:szCs w:val="21"/>
              </w:rPr>
              <w:t>其他制冷电器</w:t>
            </w:r>
          </w:p>
        </w:tc>
        <w:tc>
          <w:tcPr>
            <w:tcW w:w="850" w:type="dxa"/>
            <w:vAlign w:val="center"/>
          </w:tcPr>
          <w:p>
            <w:pPr>
              <w:pStyle w:val="14"/>
              <w:rPr>
                <w:sz w:val="18"/>
                <w:szCs w:val="21"/>
              </w:rPr>
            </w:pPr>
            <w:r>
              <w:rPr>
                <w:sz w:val="18"/>
                <w:szCs w:val="21"/>
              </w:rPr>
              <w:t>A0206180199</w:t>
            </w:r>
          </w:p>
        </w:tc>
        <w:tc>
          <w:tcPr>
            <w:tcW w:w="709" w:type="dxa"/>
            <w:vAlign w:val="center"/>
          </w:tcPr>
          <w:p>
            <w:pPr>
              <w:pStyle w:val="15"/>
              <w:rPr>
                <w:sz w:val="18"/>
                <w:szCs w:val="21"/>
              </w:rPr>
            </w:pPr>
            <w:r>
              <w:rPr>
                <w:sz w:val="18"/>
                <w:szCs w:val="21"/>
              </w:rPr>
              <w:t>台</w:t>
            </w:r>
          </w:p>
        </w:tc>
        <w:tc>
          <w:tcPr>
            <w:tcW w:w="567" w:type="dxa"/>
            <w:vAlign w:val="center"/>
          </w:tcPr>
          <w:p>
            <w:pPr>
              <w:pStyle w:val="13"/>
              <w:jc w:val="center"/>
              <w:rPr>
                <w:sz w:val="18"/>
                <w:szCs w:val="21"/>
              </w:rPr>
            </w:pPr>
            <w:r>
              <w:rPr>
                <w:sz w:val="18"/>
                <w:szCs w:val="21"/>
              </w:rPr>
              <w:t>2</w:t>
            </w:r>
          </w:p>
        </w:tc>
        <w:tc>
          <w:tcPr>
            <w:tcW w:w="992" w:type="dxa"/>
            <w:vAlign w:val="center"/>
          </w:tcPr>
          <w:p>
            <w:pPr>
              <w:pStyle w:val="13"/>
              <w:rPr>
                <w:sz w:val="18"/>
                <w:szCs w:val="21"/>
              </w:rPr>
            </w:pPr>
            <w:r>
              <w:rPr>
                <w:sz w:val="18"/>
                <w:szCs w:val="21"/>
              </w:rPr>
              <w:t>4.40</w:t>
            </w:r>
          </w:p>
        </w:tc>
        <w:tc>
          <w:tcPr>
            <w:tcW w:w="992" w:type="dxa"/>
            <w:vAlign w:val="center"/>
          </w:tcPr>
          <w:p>
            <w:pPr>
              <w:pStyle w:val="13"/>
              <w:rPr>
                <w:sz w:val="18"/>
                <w:szCs w:val="21"/>
              </w:rPr>
            </w:pPr>
            <w:r>
              <w:rPr>
                <w:sz w:val="18"/>
                <w:szCs w:val="21"/>
              </w:rPr>
              <w:t>8.80</w:t>
            </w:r>
          </w:p>
        </w:tc>
        <w:tc>
          <w:tcPr>
            <w:tcW w:w="993" w:type="dxa"/>
            <w:vAlign w:val="center"/>
          </w:tcPr>
          <w:p>
            <w:pPr>
              <w:pStyle w:val="13"/>
              <w:rPr>
                <w:sz w:val="18"/>
                <w:szCs w:val="21"/>
              </w:rPr>
            </w:pPr>
            <w:r>
              <w:rPr>
                <w:sz w:val="18"/>
                <w:szCs w:val="21"/>
              </w:rPr>
              <w:t>8.80</w:t>
            </w:r>
          </w:p>
        </w:tc>
        <w:tc>
          <w:tcPr>
            <w:tcW w:w="992" w:type="dxa"/>
            <w:vAlign w:val="center"/>
          </w:tcPr>
          <w:p>
            <w:pPr>
              <w:pStyle w:val="13"/>
              <w:rPr>
                <w:sz w:val="18"/>
                <w:szCs w:val="21"/>
              </w:rPr>
            </w:pPr>
          </w:p>
        </w:tc>
        <w:tc>
          <w:tcPr>
            <w:tcW w:w="992" w:type="dxa"/>
            <w:vAlign w:val="center"/>
          </w:tcPr>
          <w:p>
            <w:pPr>
              <w:pStyle w:val="13"/>
              <w:rPr>
                <w:sz w:val="18"/>
                <w:szCs w:val="21"/>
              </w:rPr>
            </w:pPr>
          </w:p>
        </w:tc>
        <w:tc>
          <w:tcPr>
            <w:tcW w:w="851" w:type="dxa"/>
            <w:vAlign w:val="center"/>
          </w:tcPr>
          <w:p>
            <w:pPr>
              <w:pStyle w:val="13"/>
              <w:rPr>
                <w:sz w:val="18"/>
                <w:szCs w:val="21"/>
              </w:rPr>
            </w:pPr>
          </w:p>
        </w:tc>
        <w:tc>
          <w:tcPr>
            <w:tcW w:w="708" w:type="dxa"/>
            <w:vAlign w:val="center"/>
          </w:tcPr>
          <w:p>
            <w:pPr>
              <w:pStyle w:val="13"/>
              <w:rPr>
                <w:sz w:val="18"/>
                <w:szCs w:val="21"/>
              </w:rPr>
            </w:pPr>
          </w:p>
        </w:tc>
        <w:tc>
          <w:tcPr>
            <w:tcW w:w="851" w:type="dxa"/>
            <w:vAlign w:val="center"/>
          </w:tcPr>
          <w:p>
            <w:pPr>
              <w:pStyle w:val="13"/>
              <w:rPr>
                <w:sz w:val="18"/>
                <w:szCs w:val="21"/>
              </w:rPr>
            </w:pPr>
          </w:p>
        </w:tc>
        <w:tc>
          <w:tcPr>
            <w:tcW w:w="850" w:type="dxa"/>
            <w:vAlign w:val="center"/>
          </w:tcPr>
          <w:p>
            <w:pPr>
              <w:pStyle w:val="13"/>
              <w:rPr>
                <w:sz w:val="18"/>
                <w:szCs w:val="21"/>
              </w:rPr>
            </w:pPr>
          </w:p>
        </w:tc>
        <w:tc>
          <w:tcPr>
            <w:tcW w:w="1078" w:type="dxa"/>
            <w:vAlign w:val="center"/>
          </w:tcPr>
          <w:p>
            <w:pPr>
              <w:pStyle w:val="13"/>
              <w:rPr>
                <w:sz w:val="18"/>
                <w:szCs w:val="21"/>
              </w:rPr>
            </w:pPr>
            <w:r>
              <w:rPr>
                <w:sz w:val="18"/>
                <w:szCs w:val="21"/>
              </w:rPr>
              <w:t>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04" w:type="dxa"/>
            <w:vAlign w:val="center"/>
          </w:tcPr>
          <w:p>
            <w:pPr>
              <w:pStyle w:val="14"/>
              <w:ind w:left="420"/>
              <w:rPr>
                <w:sz w:val="18"/>
                <w:szCs w:val="21"/>
              </w:rPr>
            </w:pPr>
            <w:r>
              <w:rPr>
                <w:sz w:val="18"/>
                <w:szCs w:val="21"/>
              </w:rPr>
              <w:t>园林浇水车辆购置费</w:t>
            </w:r>
          </w:p>
        </w:tc>
        <w:tc>
          <w:tcPr>
            <w:tcW w:w="992" w:type="dxa"/>
            <w:vAlign w:val="center"/>
          </w:tcPr>
          <w:p>
            <w:pPr>
              <w:pStyle w:val="13"/>
              <w:rPr>
                <w:sz w:val="18"/>
                <w:szCs w:val="21"/>
              </w:rPr>
            </w:pPr>
            <w:r>
              <w:rPr>
                <w:sz w:val="18"/>
                <w:szCs w:val="21"/>
              </w:rPr>
              <w:t>65.00</w:t>
            </w:r>
          </w:p>
        </w:tc>
        <w:tc>
          <w:tcPr>
            <w:tcW w:w="993" w:type="dxa"/>
            <w:vAlign w:val="center"/>
          </w:tcPr>
          <w:p>
            <w:pPr>
              <w:pStyle w:val="14"/>
              <w:rPr>
                <w:sz w:val="18"/>
                <w:szCs w:val="21"/>
              </w:rPr>
            </w:pPr>
            <w:r>
              <w:rPr>
                <w:sz w:val="18"/>
                <w:szCs w:val="21"/>
              </w:rPr>
              <w:t>洒水车</w:t>
            </w:r>
          </w:p>
        </w:tc>
        <w:tc>
          <w:tcPr>
            <w:tcW w:w="850" w:type="dxa"/>
            <w:vAlign w:val="center"/>
          </w:tcPr>
          <w:p>
            <w:pPr>
              <w:pStyle w:val="14"/>
              <w:rPr>
                <w:sz w:val="18"/>
                <w:szCs w:val="21"/>
              </w:rPr>
            </w:pPr>
            <w:r>
              <w:rPr>
                <w:sz w:val="18"/>
                <w:szCs w:val="21"/>
              </w:rPr>
              <w:t>A0203072802</w:t>
            </w:r>
          </w:p>
        </w:tc>
        <w:tc>
          <w:tcPr>
            <w:tcW w:w="709" w:type="dxa"/>
            <w:vAlign w:val="center"/>
          </w:tcPr>
          <w:p>
            <w:pPr>
              <w:pStyle w:val="15"/>
              <w:rPr>
                <w:sz w:val="18"/>
                <w:szCs w:val="21"/>
              </w:rPr>
            </w:pPr>
            <w:r>
              <w:rPr>
                <w:sz w:val="18"/>
                <w:szCs w:val="21"/>
              </w:rPr>
              <w:t>辆</w:t>
            </w:r>
          </w:p>
        </w:tc>
        <w:tc>
          <w:tcPr>
            <w:tcW w:w="567" w:type="dxa"/>
            <w:vAlign w:val="center"/>
          </w:tcPr>
          <w:p>
            <w:pPr>
              <w:pStyle w:val="13"/>
              <w:jc w:val="center"/>
              <w:rPr>
                <w:sz w:val="18"/>
                <w:szCs w:val="21"/>
              </w:rPr>
            </w:pPr>
            <w:r>
              <w:rPr>
                <w:sz w:val="18"/>
                <w:szCs w:val="21"/>
              </w:rPr>
              <w:t>2</w:t>
            </w:r>
          </w:p>
        </w:tc>
        <w:tc>
          <w:tcPr>
            <w:tcW w:w="992" w:type="dxa"/>
            <w:vAlign w:val="center"/>
          </w:tcPr>
          <w:p>
            <w:pPr>
              <w:pStyle w:val="13"/>
              <w:rPr>
                <w:sz w:val="18"/>
                <w:szCs w:val="21"/>
              </w:rPr>
            </w:pPr>
            <w:r>
              <w:rPr>
                <w:sz w:val="18"/>
                <w:szCs w:val="21"/>
              </w:rPr>
              <w:t>32.50</w:t>
            </w:r>
          </w:p>
        </w:tc>
        <w:tc>
          <w:tcPr>
            <w:tcW w:w="992" w:type="dxa"/>
            <w:vAlign w:val="center"/>
          </w:tcPr>
          <w:p>
            <w:pPr>
              <w:pStyle w:val="13"/>
              <w:rPr>
                <w:sz w:val="18"/>
                <w:szCs w:val="21"/>
              </w:rPr>
            </w:pPr>
            <w:r>
              <w:rPr>
                <w:sz w:val="18"/>
                <w:szCs w:val="21"/>
              </w:rPr>
              <w:t>65.00</w:t>
            </w:r>
          </w:p>
        </w:tc>
        <w:tc>
          <w:tcPr>
            <w:tcW w:w="993" w:type="dxa"/>
            <w:vAlign w:val="center"/>
          </w:tcPr>
          <w:p>
            <w:pPr>
              <w:pStyle w:val="13"/>
              <w:rPr>
                <w:sz w:val="18"/>
                <w:szCs w:val="21"/>
              </w:rPr>
            </w:pPr>
            <w:r>
              <w:rPr>
                <w:sz w:val="18"/>
                <w:szCs w:val="21"/>
              </w:rPr>
              <w:t>65.00</w:t>
            </w:r>
          </w:p>
        </w:tc>
        <w:tc>
          <w:tcPr>
            <w:tcW w:w="992" w:type="dxa"/>
            <w:vAlign w:val="center"/>
          </w:tcPr>
          <w:p>
            <w:pPr>
              <w:pStyle w:val="13"/>
              <w:rPr>
                <w:sz w:val="18"/>
                <w:szCs w:val="21"/>
              </w:rPr>
            </w:pPr>
          </w:p>
        </w:tc>
        <w:tc>
          <w:tcPr>
            <w:tcW w:w="992" w:type="dxa"/>
            <w:vAlign w:val="center"/>
          </w:tcPr>
          <w:p>
            <w:pPr>
              <w:pStyle w:val="13"/>
              <w:rPr>
                <w:sz w:val="18"/>
                <w:szCs w:val="21"/>
              </w:rPr>
            </w:pPr>
          </w:p>
        </w:tc>
        <w:tc>
          <w:tcPr>
            <w:tcW w:w="851" w:type="dxa"/>
            <w:vAlign w:val="center"/>
          </w:tcPr>
          <w:p>
            <w:pPr>
              <w:pStyle w:val="13"/>
              <w:rPr>
                <w:sz w:val="18"/>
                <w:szCs w:val="21"/>
              </w:rPr>
            </w:pPr>
          </w:p>
        </w:tc>
        <w:tc>
          <w:tcPr>
            <w:tcW w:w="708" w:type="dxa"/>
            <w:vAlign w:val="center"/>
          </w:tcPr>
          <w:p>
            <w:pPr>
              <w:pStyle w:val="13"/>
              <w:rPr>
                <w:sz w:val="18"/>
                <w:szCs w:val="21"/>
              </w:rPr>
            </w:pPr>
          </w:p>
        </w:tc>
        <w:tc>
          <w:tcPr>
            <w:tcW w:w="851" w:type="dxa"/>
            <w:vAlign w:val="center"/>
          </w:tcPr>
          <w:p>
            <w:pPr>
              <w:pStyle w:val="13"/>
              <w:rPr>
                <w:sz w:val="18"/>
                <w:szCs w:val="21"/>
              </w:rPr>
            </w:pPr>
          </w:p>
        </w:tc>
        <w:tc>
          <w:tcPr>
            <w:tcW w:w="850" w:type="dxa"/>
            <w:vAlign w:val="center"/>
          </w:tcPr>
          <w:p>
            <w:pPr>
              <w:pStyle w:val="13"/>
              <w:rPr>
                <w:sz w:val="18"/>
                <w:szCs w:val="21"/>
              </w:rPr>
            </w:pPr>
          </w:p>
        </w:tc>
        <w:tc>
          <w:tcPr>
            <w:tcW w:w="1078" w:type="dxa"/>
            <w:vAlign w:val="center"/>
          </w:tcPr>
          <w:p>
            <w:pPr>
              <w:pStyle w:val="13"/>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04" w:type="dxa"/>
            <w:vAlign w:val="center"/>
          </w:tcPr>
          <w:p>
            <w:pPr>
              <w:pStyle w:val="14"/>
              <w:ind w:left="420"/>
              <w:rPr>
                <w:sz w:val="18"/>
                <w:szCs w:val="21"/>
              </w:rPr>
            </w:pPr>
            <w:r>
              <w:rPr>
                <w:sz w:val="18"/>
                <w:szCs w:val="21"/>
              </w:rPr>
              <w:t>2022年度热力系统维修维护及应急抢修服务</w:t>
            </w:r>
          </w:p>
        </w:tc>
        <w:tc>
          <w:tcPr>
            <w:tcW w:w="992" w:type="dxa"/>
            <w:vAlign w:val="center"/>
          </w:tcPr>
          <w:p>
            <w:pPr>
              <w:pStyle w:val="13"/>
              <w:rPr>
                <w:sz w:val="18"/>
                <w:szCs w:val="21"/>
              </w:rPr>
            </w:pPr>
            <w:r>
              <w:rPr>
                <w:sz w:val="18"/>
                <w:szCs w:val="21"/>
              </w:rPr>
              <w:t>30.00</w:t>
            </w:r>
          </w:p>
        </w:tc>
        <w:tc>
          <w:tcPr>
            <w:tcW w:w="993" w:type="dxa"/>
            <w:vAlign w:val="center"/>
          </w:tcPr>
          <w:p>
            <w:pPr>
              <w:pStyle w:val="14"/>
              <w:rPr>
                <w:sz w:val="18"/>
                <w:szCs w:val="21"/>
              </w:rPr>
            </w:pPr>
            <w:r>
              <w:rPr>
                <w:sz w:val="18"/>
                <w:szCs w:val="21"/>
              </w:rPr>
              <w:t>市政公共设施管理服务</w:t>
            </w:r>
          </w:p>
        </w:tc>
        <w:tc>
          <w:tcPr>
            <w:tcW w:w="850" w:type="dxa"/>
            <w:vAlign w:val="center"/>
          </w:tcPr>
          <w:p>
            <w:pPr>
              <w:pStyle w:val="14"/>
              <w:rPr>
                <w:sz w:val="18"/>
                <w:szCs w:val="21"/>
              </w:rPr>
            </w:pPr>
            <w:r>
              <w:rPr>
                <w:sz w:val="18"/>
                <w:szCs w:val="21"/>
              </w:rPr>
              <w:t>C1302</w:t>
            </w:r>
          </w:p>
        </w:tc>
        <w:tc>
          <w:tcPr>
            <w:tcW w:w="709" w:type="dxa"/>
            <w:vAlign w:val="center"/>
          </w:tcPr>
          <w:p>
            <w:pPr>
              <w:pStyle w:val="15"/>
              <w:rPr>
                <w:sz w:val="18"/>
                <w:szCs w:val="21"/>
              </w:rPr>
            </w:pPr>
            <w:r>
              <w:rPr>
                <w:sz w:val="18"/>
                <w:szCs w:val="21"/>
              </w:rPr>
              <w:t>项</w:t>
            </w:r>
          </w:p>
        </w:tc>
        <w:tc>
          <w:tcPr>
            <w:tcW w:w="567" w:type="dxa"/>
            <w:vAlign w:val="center"/>
          </w:tcPr>
          <w:p>
            <w:pPr>
              <w:pStyle w:val="13"/>
              <w:jc w:val="center"/>
              <w:rPr>
                <w:sz w:val="18"/>
                <w:szCs w:val="21"/>
              </w:rPr>
            </w:pPr>
            <w:r>
              <w:rPr>
                <w:sz w:val="18"/>
                <w:szCs w:val="21"/>
              </w:rPr>
              <w:t>1</w:t>
            </w:r>
          </w:p>
        </w:tc>
        <w:tc>
          <w:tcPr>
            <w:tcW w:w="992" w:type="dxa"/>
            <w:vAlign w:val="center"/>
          </w:tcPr>
          <w:p>
            <w:pPr>
              <w:pStyle w:val="13"/>
              <w:rPr>
                <w:sz w:val="18"/>
                <w:szCs w:val="21"/>
              </w:rPr>
            </w:pPr>
            <w:r>
              <w:rPr>
                <w:sz w:val="18"/>
                <w:szCs w:val="21"/>
              </w:rPr>
              <w:t>30.00</w:t>
            </w:r>
          </w:p>
        </w:tc>
        <w:tc>
          <w:tcPr>
            <w:tcW w:w="992" w:type="dxa"/>
            <w:vAlign w:val="center"/>
          </w:tcPr>
          <w:p>
            <w:pPr>
              <w:pStyle w:val="13"/>
              <w:rPr>
                <w:sz w:val="18"/>
                <w:szCs w:val="21"/>
              </w:rPr>
            </w:pPr>
            <w:r>
              <w:rPr>
                <w:sz w:val="18"/>
                <w:szCs w:val="21"/>
              </w:rPr>
              <w:t>30.00</w:t>
            </w:r>
          </w:p>
        </w:tc>
        <w:tc>
          <w:tcPr>
            <w:tcW w:w="993" w:type="dxa"/>
            <w:vAlign w:val="center"/>
          </w:tcPr>
          <w:p>
            <w:pPr>
              <w:pStyle w:val="13"/>
              <w:rPr>
                <w:sz w:val="18"/>
                <w:szCs w:val="21"/>
              </w:rPr>
            </w:pPr>
            <w:r>
              <w:rPr>
                <w:sz w:val="18"/>
                <w:szCs w:val="21"/>
              </w:rPr>
              <w:t>30.00</w:t>
            </w:r>
          </w:p>
        </w:tc>
        <w:tc>
          <w:tcPr>
            <w:tcW w:w="992" w:type="dxa"/>
            <w:vAlign w:val="center"/>
          </w:tcPr>
          <w:p>
            <w:pPr>
              <w:pStyle w:val="13"/>
              <w:rPr>
                <w:sz w:val="18"/>
                <w:szCs w:val="21"/>
              </w:rPr>
            </w:pPr>
          </w:p>
        </w:tc>
        <w:tc>
          <w:tcPr>
            <w:tcW w:w="992" w:type="dxa"/>
            <w:vAlign w:val="center"/>
          </w:tcPr>
          <w:p>
            <w:pPr>
              <w:pStyle w:val="13"/>
              <w:rPr>
                <w:sz w:val="18"/>
                <w:szCs w:val="21"/>
              </w:rPr>
            </w:pPr>
          </w:p>
        </w:tc>
        <w:tc>
          <w:tcPr>
            <w:tcW w:w="851" w:type="dxa"/>
            <w:vAlign w:val="center"/>
          </w:tcPr>
          <w:p>
            <w:pPr>
              <w:pStyle w:val="13"/>
              <w:rPr>
                <w:sz w:val="18"/>
                <w:szCs w:val="21"/>
              </w:rPr>
            </w:pPr>
          </w:p>
        </w:tc>
        <w:tc>
          <w:tcPr>
            <w:tcW w:w="708" w:type="dxa"/>
            <w:vAlign w:val="center"/>
          </w:tcPr>
          <w:p>
            <w:pPr>
              <w:pStyle w:val="13"/>
              <w:rPr>
                <w:sz w:val="18"/>
                <w:szCs w:val="21"/>
              </w:rPr>
            </w:pPr>
          </w:p>
        </w:tc>
        <w:tc>
          <w:tcPr>
            <w:tcW w:w="851" w:type="dxa"/>
            <w:vAlign w:val="center"/>
          </w:tcPr>
          <w:p>
            <w:pPr>
              <w:pStyle w:val="13"/>
              <w:rPr>
                <w:sz w:val="18"/>
                <w:szCs w:val="21"/>
              </w:rPr>
            </w:pPr>
          </w:p>
        </w:tc>
        <w:tc>
          <w:tcPr>
            <w:tcW w:w="850" w:type="dxa"/>
            <w:vAlign w:val="center"/>
          </w:tcPr>
          <w:p>
            <w:pPr>
              <w:pStyle w:val="13"/>
              <w:rPr>
                <w:sz w:val="18"/>
                <w:szCs w:val="21"/>
              </w:rPr>
            </w:pPr>
          </w:p>
        </w:tc>
        <w:tc>
          <w:tcPr>
            <w:tcW w:w="1078" w:type="dxa"/>
            <w:vAlign w:val="center"/>
          </w:tcPr>
          <w:p>
            <w:pPr>
              <w:pStyle w:val="13"/>
              <w:rPr>
                <w:sz w:val="18"/>
                <w:szCs w:val="21"/>
              </w:rPr>
            </w:pPr>
            <w:r>
              <w:rPr>
                <w:sz w:val="18"/>
                <w:szCs w:val="21"/>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04" w:type="dxa"/>
            <w:vAlign w:val="center"/>
          </w:tcPr>
          <w:p>
            <w:pPr>
              <w:pStyle w:val="14"/>
              <w:ind w:left="420"/>
              <w:rPr>
                <w:sz w:val="18"/>
                <w:szCs w:val="21"/>
              </w:rPr>
            </w:pPr>
            <w:r>
              <w:rPr>
                <w:sz w:val="18"/>
                <w:szCs w:val="21"/>
              </w:rPr>
              <w:t>2022年老旧小区建筑主体改造工程材料检测</w:t>
            </w:r>
          </w:p>
        </w:tc>
        <w:tc>
          <w:tcPr>
            <w:tcW w:w="992" w:type="dxa"/>
            <w:vAlign w:val="center"/>
          </w:tcPr>
          <w:p>
            <w:pPr>
              <w:pStyle w:val="13"/>
              <w:rPr>
                <w:sz w:val="18"/>
                <w:szCs w:val="21"/>
              </w:rPr>
            </w:pPr>
            <w:r>
              <w:rPr>
                <w:sz w:val="18"/>
                <w:szCs w:val="21"/>
              </w:rPr>
              <w:t>60.00</w:t>
            </w:r>
          </w:p>
        </w:tc>
        <w:tc>
          <w:tcPr>
            <w:tcW w:w="993" w:type="dxa"/>
            <w:vAlign w:val="center"/>
          </w:tcPr>
          <w:p>
            <w:pPr>
              <w:pStyle w:val="14"/>
              <w:rPr>
                <w:sz w:val="18"/>
                <w:szCs w:val="21"/>
              </w:rPr>
            </w:pPr>
            <w:r>
              <w:rPr>
                <w:sz w:val="18"/>
                <w:szCs w:val="21"/>
              </w:rPr>
              <w:t>技术测试和分析服务</w:t>
            </w:r>
          </w:p>
        </w:tc>
        <w:tc>
          <w:tcPr>
            <w:tcW w:w="850" w:type="dxa"/>
            <w:vAlign w:val="center"/>
          </w:tcPr>
          <w:p>
            <w:pPr>
              <w:pStyle w:val="14"/>
              <w:rPr>
                <w:sz w:val="18"/>
                <w:szCs w:val="21"/>
              </w:rPr>
            </w:pPr>
            <w:r>
              <w:rPr>
                <w:sz w:val="18"/>
                <w:szCs w:val="21"/>
              </w:rPr>
              <w:t>C0901</w:t>
            </w:r>
          </w:p>
        </w:tc>
        <w:tc>
          <w:tcPr>
            <w:tcW w:w="709" w:type="dxa"/>
            <w:vAlign w:val="center"/>
          </w:tcPr>
          <w:p>
            <w:pPr>
              <w:pStyle w:val="15"/>
              <w:rPr>
                <w:sz w:val="18"/>
                <w:szCs w:val="21"/>
              </w:rPr>
            </w:pPr>
            <w:r>
              <w:rPr>
                <w:sz w:val="18"/>
                <w:szCs w:val="21"/>
              </w:rPr>
              <w:t>项</w:t>
            </w:r>
          </w:p>
        </w:tc>
        <w:tc>
          <w:tcPr>
            <w:tcW w:w="567" w:type="dxa"/>
            <w:vAlign w:val="center"/>
          </w:tcPr>
          <w:p>
            <w:pPr>
              <w:pStyle w:val="13"/>
              <w:jc w:val="center"/>
              <w:rPr>
                <w:sz w:val="18"/>
                <w:szCs w:val="21"/>
              </w:rPr>
            </w:pPr>
            <w:r>
              <w:rPr>
                <w:sz w:val="18"/>
                <w:szCs w:val="21"/>
              </w:rPr>
              <w:t>1</w:t>
            </w:r>
          </w:p>
        </w:tc>
        <w:tc>
          <w:tcPr>
            <w:tcW w:w="992" w:type="dxa"/>
            <w:vAlign w:val="center"/>
          </w:tcPr>
          <w:p>
            <w:pPr>
              <w:pStyle w:val="13"/>
              <w:rPr>
                <w:sz w:val="18"/>
                <w:szCs w:val="21"/>
              </w:rPr>
            </w:pPr>
            <w:r>
              <w:rPr>
                <w:sz w:val="18"/>
                <w:szCs w:val="21"/>
              </w:rPr>
              <w:t>60.00</w:t>
            </w:r>
          </w:p>
        </w:tc>
        <w:tc>
          <w:tcPr>
            <w:tcW w:w="992" w:type="dxa"/>
            <w:vAlign w:val="center"/>
          </w:tcPr>
          <w:p>
            <w:pPr>
              <w:pStyle w:val="13"/>
              <w:rPr>
                <w:sz w:val="18"/>
                <w:szCs w:val="21"/>
              </w:rPr>
            </w:pPr>
            <w:r>
              <w:rPr>
                <w:sz w:val="18"/>
                <w:szCs w:val="21"/>
              </w:rPr>
              <w:t>60.00</w:t>
            </w:r>
          </w:p>
        </w:tc>
        <w:tc>
          <w:tcPr>
            <w:tcW w:w="993" w:type="dxa"/>
            <w:vAlign w:val="center"/>
          </w:tcPr>
          <w:p>
            <w:pPr>
              <w:pStyle w:val="13"/>
              <w:rPr>
                <w:sz w:val="18"/>
                <w:szCs w:val="21"/>
              </w:rPr>
            </w:pPr>
            <w:r>
              <w:rPr>
                <w:sz w:val="18"/>
                <w:szCs w:val="21"/>
              </w:rPr>
              <w:t>60.00</w:t>
            </w:r>
          </w:p>
        </w:tc>
        <w:tc>
          <w:tcPr>
            <w:tcW w:w="992" w:type="dxa"/>
            <w:vAlign w:val="center"/>
          </w:tcPr>
          <w:p>
            <w:pPr>
              <w:pStyle w:val="13"/>
              <w:rPr>
                <w:sz w:val="18"/>
                <w:szCs w:val="21"/>
              </w:rPr>
            </w:pPr>
          </w:p>
        </w:tc>
        <w:tc>
          <w:tcPr>
            <w:tcW w:w="992" w:type="dxa"/>
            <w:vAlign w:val="center"/>
          </w:tcPr>
          <w:p>
            <w:pPr>
              <w:pStyle w:val="13"/>
              <w:rPr>
                <w:sz w:val="18"/>
                <w:szCs w:val="21"/>
              </w:rPr>
            </w:pPr>
          </w:p>
        </w:tc>
        <w:tc>
          <w:tcPr>
            <w:tcW w:w="851" w:type="dxa"/>
            <w:vAlign w:val="center"/>
          </w:tcPr>
          <w:p>
            <w:pPr>
              <w:pStyle w:val="13"/>
              <w:rPr>
                <w:sz w:val="18"/>
                <w:szCs w:val="21"/>
              </w:rPr>
            </w:pPr>
          </w:p>
        </w:tc>
        <w:tc>
          <w:tcPr>
            <w:tcW w:w="708" w:type="dxa"/>
            <w:vAlign w:val="center"/>
          </w:tcPr>
          <w:p>
            <w:pPr>
              <w:pStyle w:val="13"/>
              <w:rPr>
                <w:sz w:val="18"/>
                <w:szCs w:val="21"/>
              </w:rPr>
            </w:pPr>
          </w:p>
        </w:tc>
        <w:tc>
          <w:tcPr>
            <w:tcW w:w="851" w:type="dxa"/>
            <w:vAlign w:val="center"/>
          </w:tcPr>
          <w:p>
            <w:pPr>
              <w:pStyle w:val="13"/>
              <w:rPr>
                <w:sz w:val="18"/>
                <w:szCs w:val="21"/>
              </w:rPr>
            </w:pPr>
          </w:p>
        </w:tc>
        <w:tc>
          <w:tcPr>
            <w:tcW w:w="850" w:type="dxa"/>
            <w:vAlign w:val="center"/>
          </w:tcPr>
          <w:p>
            <w:pPr>
              <w:pStyle w:val="13"/>
              <w:rPr>
                <w:sz w:val="18"/>
                <w:szCs w:val="21"/>
              </w:rPr>
            </w:pPr>
          </w:p>
        </w:tc>
        <w:tc>
          <w:tcPr>
            <w:tcW w:w="1078" w:type="dxa"/>
            <w:vAlign w:val="center"/>
          </w:tcPr>
          <w:p>
            <w:pPr>
              <w:pStyle w:val="13"/>
              <w:rPr>
                <w:sz w:val="18"/>
                <w:szCs w:val="21"/>
              </w:rPr>
            </w:pPr>
            <w:r>
              <w:rPr>
                <w:sz w:val="18"/>
                <w:szCs w:val="21"/>
              </w:rP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04" w:type="dxa"/>
            <w:vAlign w:val="center"/>
          </w:tcPr>
          <w:p>
            <w:pPr>
              <w:pStyle w:val="14"/>
              <w:ind w:left="420"/>
              <w:rPr>
                <w:sz w:val="18"/>
                <w:szCs w:val="21"/>
              </w:rPr>
            </w:pPr>
            <w:r>
              <w:rPr>
                <w:sz w:val="18"/>
                <w:szCs w:val="21"/>
              </w:rPr>
              <w:t>2022年老旧小区配套基础设施改造工程材料检测</w:t>
            </w:r>
          </w:p>
        </w:tc>
        <w:tc>
          <w:tcPr>
            <w:tcW w:w="992" w:type="dxa"/>
            <w:vAlign w:val="center"/>
          </w:tcPr>
          <w:p>
            <w:pPr>
              <w:pStyle w:val="13"/>
              <w:rPr>
                <w:sz w:val="18"/>
                <w:szCs w:val="21"/>
              </w:rPr>
            </w:pPr>
            <w:r>
              <w:rPr>
                <w:sz w:val="18"/>
                <w:szCs w:val="21"/>
              </w:rPr>
              <w:t>50.00</w:t>
            </w:r>
          </w:p>
        </w:tc>
        <w:tc>
          <w:tcPr>
            <w:tcW w:w="993" w:type="dxa"/>
            <w:vAlign w:val="center"/>
          </w:tcPr>
          <w:p>
            <w:pPr>
              <w:pStyle w:val="14"/>
              <w:rPr>
                <w:sz w:val="18"/>
                <w:szCs w:val="21"/>
              </w:rPr>
            </w:pPr>
            <w:r>
              <w:rPr>
                <w:sz w:val="18"/>
                <w:szCs w:val="21"/>
              </w:rPr>
              <w:t>技术测试和分析服务</w:t>
            </w:r>
          </w:p>
        </w:tc>
        <w:tc>
          <w:tcPr>
            <w:tcW w:w="850" w:type="dxa"/>
            <w:vAlign w:val="center"/>
          </w:tcPr>
          <w:p>
            <w:pPr>
              <w:pStyle w:val="14"/>
              <w:rPr>
                <w:sz w:val="18"/>
                <w:szCs w:val="21"/>
              </w:rPr>
            </w:pPr>
            <w:r>
              <w:rPr>
                <w:sz w:val="18"/>
                <w:szCs w:val="21"/>
              </w:rPr>
              <w:t>C0901</w:t>
            </w:r>
          </w:p>
        </w:tc>
        <w:tc>
          <w:tcPr>
            <w:tcW w:w="709" w:type="dxa"/>
            <w:vAlign w:val="center"/>
          </w:tcPr>
          <w:p>
            <w:pPr>
              <w:pStyle w:val="15"/>
              <w:rPr>
                <w:sz w:val="18"/>
                <w:szCs w:val="21"/>
              </w:rPr>
            </w:pPr>
            <w:r>
              <w:rPr>
                <w:sz w:val="18"/>
                <w:szCs w:val="21"/>
              </w:rPr>
              <w:t>项</w:t>
            </w:r>
          </w:p>
        </w:tc>
        <w:tc>
          <w:tcPr>
            <w:tcW w:w="567" w:type="dxa"/>
            <w:vAlign w:val="center"/>
          </w:tcPr>
          <w:p>
            <w:pPr>
              <w:pStyle w:val="13"/>
              <w:jc w:val="center"/>
              <w:rPr>
                <w:sz w:val="18"/>
                <w:szCs w:val="21"/>
              </w:rPr>
            </w:pPr>
            <w:r>
              <w:rPr>
                <w:sz w:val="18"/>
                <w:szCs w:val="21"/>
              </w:rPr>
              <w:t>1</w:t>
            </w:r>
          </w:p>
        </w:tc>
        <w:tc>
          <w:tcPr>
            <w:tcW w:w="992" w:type="dxa"/>
            <w:vAlign w:val="center"/>
          </w:tcPr>
          <w:p>
            <w:pPr>
              <w:pStyle w:val="13"/>
              <w:rPr>
                <w:sz w:val="18"/>
                <w:szCs w:val="21"/>
              </w:rPr>
            </w:pPr>
            <w:r>
              <w:rPr>
                <w:sz w:val="18"/>
                <w:szCs w:val="21"/>
              </w:rPr>
              <w:t>50.00</w:t>
            </w:r>
          </w:p>
        </w:tc>
        <w:tc>
          <w:tcPr>
            <w:tcW w:w="992" w:type="dxa"/>
            <w:vAlign w:val="center"/>
          </w:tcPr>
          <w:p>
            <w:pPr>
              <w:pStyle w:val="13"/>
              <w:rPr>
                <w:sz w:val="18"/>
                <w:szCs w:val="21"/>
              </w:rPr>
            </w:pPr>
            <w:r>
              <w:rPr>
                <w:sz w:val="18"/>
                <w:szCs w:val="21"/>
              </w:rPr>
              <w:t>50.00</w:t>
            </w:r>
          </w:p>
        </w:tc>
        <w:tc>
          <w:tcPr>
            <w:tcW w:w="993" w:type="dxa"/>
            <w:vAlign w:val="center"/>
          </w:tcPr>
          <w:p>
            <w:pPr>
              <w:pStyle w:val="13"/>
              <w:rPr>
                <w:sz w:val="18"/>
                <w:szCs w:val="21"/>
              </w:rPr>
            </w:pPr>
            <w:r>
              <w:rPr>
                <w:sz w:val="18"/>
                <w:szCs w:val="21"/>
              </w:rPr>
              <w:t>50.00</w:t>
            </w:r>
          </w:p>
        </w:tc>
        <w:tc>
          <w:tcPr>
            <w:tcW w:w="992" w:type="dxa"/>
            <w:vAlign w:val="center"/>
          </w:tcPr>
          <w:p>
            <w:pPr>
              <w:pStyle w:val="13"/>
              <w:rPr>
                <w:sz w:val="18"/>
                <w:szCs w:val="21"/>
              </w:rPr>
            </w:pPr>
          </w:p>
        </w:tc>
        <w:tc>
          <w:tcPr>
            <w:tcW w:w="992" w:type="dxa"/>
            <w:vAlign w:val="center"/>
          </w:tcPr>
          <w:p>
            <w:pPr>
              <w:pStyle w:val="13"/>
              <w:rPr>
                <w:sz w:val="18"/>
                <w:szCs w:val="21"/>
              </w:rPr>
            </w:pPr>
          </w:p>
        </w:tc>
        <w:tc>
          <w:tcPr>
            <w:tcW w:w="851" w:type="dxa"/>
            <w:vAlign w:val="center"/>
          </w:tcPr>
          <w:p>
            <w:pPr>
              <w:pStyle w:val="13"/>
              <w:rPr>
                <w:sz w:val="18"/>
                <w:szCs w:val="21"/>
              </w:rPr>
            </w:pPr>
          </w:p>
        </w:tc>
        <w:tc>
          <w:tcPr>
            <w:tcW w:w="708" w:type="dxa"/>
            <w:vAlign w:val="center"/>
          </w:tcPr>
          <w:p>
            <w:pPr>
              <w:pStyle w:val="13"/>
              <w:rPr>
                <w:sz w:val="18"/>
                <w:szCs w:val="21"/>
              </w:rPr>
            </w:pPr>
          </w:p>
        </w:tc>
        <w:tc>
          <w:tcPr>
            <w:tcW w:w="851" w:type="dxa"/>
            <w:vAlign w:val="center"/>
          </w:tcPr>
          <w:p>
            <w:pPr>
              <w:pStyle w:val="13"/>
              <w:rPr>
                <w:sz w:val="18"/>
                <w:szCs w:val="21"/>
              </w:rPr>
            </w:pPr>
          </w:p>
        </w:tc>
        <w:tc>
          <w:tcPr>
            <w:tcW w:w="850" w:type="dxa"/>
            <w:vAlign w:val="center"/>
          </w:tcPr>
          <w:p>
            <w:pPr>
              <w:pStyle w:val="13"/>
              <w:rPr>
                <w:sz w:val="18"/>
                <w:szCs w:val="21"/>
              </w:rPr>
            </w:pPr>
          </w:p>
        </w:tc>
        <w:tc>
          <w:tcPr>
            <w:tcW w:w="1078" w:type="dxa"/>
            <w:vAlign w:val="center"/>
          </w:tcPr>
          <w:p>
            <w:pPr>
              <w:pStyle w:val="13"/>
              <w:rPr>
                <w:sz w:val="18"/>
                <w:szCs w:val="21"/>
              </w:rPr>
            </w:pPr>
            <w:r>
              <w:rPr>
                <w:sz w:val="18"/>
                <w:szCs w:val="21"/>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04" w:type="dxa"/>
            <w:vAlign w:val="center"/>
          </w:tcPr>
          <w:p>
            <w:pPr>
              <w:pStyle w:val="14"/>
              <w:ind w:left="420"/>
              <w:rPr>
                <w:sz w:val="18"/>
                <w:szCs w:val="21"/>
              </w:rPr>
            </w:pPr>
            <w:r>
              <w:rPr>
                <w:sz w:val="18"/>
                <w:szCs w:val="21"/>
              </w:rPr>
              <w:t>城市体检（东西市区）</w:t>
            </w:r>
          </w:p>
        </w:tc>
        <w:tc>
          <w:tcPr>
            <w:tcW w:w="992" w:type="dxa"/>
            <w:vAlign w:val="center"/>
          </w:tcPr>
          <w:p>
            <w:pPr>
              <w:pStyle w:val="13"/>
              <w:rPr>
                <w:sz w:val="18"/>
                <w:szCs w:val="21"/>
              </w:rPr>
            </w:pPr>
            <w:r>
              <w:rPr>
                <w:sz w:val="18"/>
                <w:szCs w:val="21"/>
              </w:rPr>
              <w:t>300.00</w:t>
            </w:r>
          </w:p>
        </w:tc>
        <w:tc>
          <w:tcPr>
            <w:tcW w:w="993" w:type="dxa"/>
            <w:vAlign w:val="center"/>
          </w:tcPr>
          <w:p>
            <w:pPr>
              <w:pStyle w:val="14"/>
              <w:rPr>
                <w:sz w:val="18"/>
                <w:szCs w:val="21"/>
              </w:rPr>
            </w:pPr>
            <w:r>
              <w:rPr>
                <w:sz w:val="18"/>
                <w:szCs w:val="21"/>
              </w:rPr>
              <w:t>市政公共设施管理服务</w:t>
            </w:r>
          </w:p>
        </w:tc>
        <w:tc>
          <w:tcPr>
            <w:tcW w:w="850" w:type="dxa"/>
            <w:vAlign w:val="center"/>
          </w:tcPr>
          <w:p>
            <w:pPr>
              <w:pStyle w:val="14"/>
              <w:rPr>
                <w:sz w:val="18"/>
                <w:szCs w:val="21"/>
              </w:rPr>
            </w:pPr>
            <w:r>
              <w:rPr>
                <w:sz w:val="18"/>
                <w:szCs w:val="21"/>
              </w:rPr>
              <w:t>C1302</w:t>
            </w:r>
          </w:p>
        </w:tc>
        <w:tc>
          <w:tcPr>
            <w:tcW w:w="709" w:type="dxa"/>
            <w:vAlign w:val="center"/>
          </w:tcPr>
          <w:p>
            <w:pPr>
              <w:pStyle w:val="15"/>
              <w:rPr>
                <w:sz w:val="18"/>
                <w:szCs w:val="21"/>
              </w:rPr>
            </w:pPr>
            <w:r>
              <w:rPr>
                <w:sz w:val="18"/>
                <w:szCs w:val="21"/>
              </w:rPr>
              <w:t>项</w:t>
            </w:r>
          </w:p>
        </w:tc>
        <w:tc>
          <w:tcPr>
            <w:tcW w:w="567" w:type="dxa"/>
            <w:vAlign w:val="center"/>
          </w:tcPr>
          <w:p>
            <w:pPr>
              <w:pStyle w:val="13"/>
              <w:jc w:val="center"/>
              <w:rPr>
                <w:sz w:val="18"/>
                <w:szCs w:val="21"/>
              </w:rPr>
            </w:pPr>
            <w:r>
              <w:rPr>
                <w:sz w:val="18"/>
                <w:szCs w:val="21"/>
              </w:rPr>
              <w:t>1</w:t>
            </w:r>
          </w:p>
        </w:tc>
        <w:tc>
          <w:tcPr>
            <w:tcW w:w="992" w:type="dxa"/>
            <w:vAlign w:val="center"/>
          </w:tcPr>
          <w:p>
            <w:pPr>
              <w:pStyle w:val="13"/>
              <w:rPr>
                <w:sz w:val="18"/>
                <w:szCs w:val="21"/>
              </w:rPr>
            </w:pPr>
            <w:r>
              <w:rPr>
                <w:sz w:val="18"/>
                <w:szCs w:val="21"/>
              </w:rPr>
              <w:t>300.00</w:t>
            </w:r>
          </w:p>
        </w:tc>
        <w:tc>
          <w:tcPr>
            <w:tcW w:w="992" w:type="dxa"/>
            <w:vAlign w:val="center"/>
          </w:tcPr>
          <w:p>
            <w:pPr>
              <w:pStyle w:val="13"/>
              <w:rPr>
                <w:sz w:val="18"/>
                <w:szCs w:val="21"/>
              </w:rPr>
            </w:pPr>
            <w:r>
              <w:rPr>
                <w:sz w:val="18"/>
                <w:szCs w:val="21"/>
              </w:rPr>
              <w:t>300.00</w:t>
            </w:r>
          </w:p>
        </w:tc>
        <w:tc>
          <w:tcPr>
            <w:tcW w:w="993" w:type="dxa"/>
            <w:vAlign w:val="center"/>
          </w:tcPr>
          <w:p>
            <w:pPr>
              <w:pStyle w:val="13"/>
              <w:rPr>
                <w:sz w:val="18"/>
                <w:szCs w:val="21"/>
              </w:rPr>
            </w:pPr>
            <w:r>
              <w:rPr>
                <w:sz w:val="18"/>
                <w:szCs w:val="21"/>
              </w:rPr>
              <w:t>300.00</w:t>
            </w:r>
          </w:p>
        </w:tc>
        <w:tc>
          <w:tcPr>
            <w:tcW w:w="992" w:type="dxa"/>
            <w:vAlign w:val="center"/>
          </w:tcPr>
          <w:p>
            <w:pPr>
              <w:pStyle w:val="13"/>
              <w:rPr>
                <w:sz w:val="18"/>
                <w:szCs w:val="21"/>
              </w:rPr>
            </w:pPr>
          </w:p>
        </w:tc>
        <w:tc>
          <w:tcPr>
            <w:tcW w:w="992" w:type="dxa"/>
            <w:vAlign w:val="center"/>
          </w:tcPr>
          <w:p>
            <w:pPr>
              <w:pStyle w:val="13"/>
              <w:rPr>
                <w:sz w:val="18"/>
                <w:szCs w:val="21"/>
              </w:rPr>
            </w:pPr>
          </w:p>
        </w:tc>
        <w:tc>
          <w:tcPr>
            <w:tcW w:w="851" w:type="dxa"/>
            <w:vAlign w:val="center"/>
          </w:tcPr>
          <w:p>
            <w:pPr>
              <w:pStyle w:val="13"/>
              <w:rPr>
                <w:sz w:val="18"/>
                <w:szCs w:val="21"/>
              </w:rPr>
            </w:pPr>
          </w:p>
        </w:tc>
        <w:tc>
          <w:tcPr>
            <w:tcW w:w="708" w:type="dxa"/>
            <w:vAlign w:val="center"/>
          </w:tcPr>
          <w:p>
            <w:pPr>
              <w:pStyle w:val="13"/>
              <w:rPr>
                <w:sz w:val="18"/>
                <w:szCs w:val="21"/>
              </w:rPr>
            </w:pPr>
          </w:p>
        </w:tc>
        <w:tc>
          <w:tcPr>
            <w:tcW w:w="851" w:type="dxa"/>
            <w:vAlign w:val="center"/>
          </w:tcPr>
          <w:p>
            <w:pPr>
              <w:pStyle w:val="13"/>
              <w:rPr>
                <w:sz w:val="18"/>
                <w:szCs w:val="21"/>
              </w:rPr>
            </w:pPr>
          </w:p>
        </w:tc>
        <w:tc>
          <w:tcPr>
            <w:tcW w:w="850" w:type="dxa"/>
            <w:vAlign w:val="center"/>
          </w:tcPr>
          <w:p>
            <w:pPr>
              <w:pStyle w:val="13"/>
              <w:rPr>
                <w:sz w:val="18"/>
                <w:szCs w:val="21"/>
              </w:rPr>
            </w:pPr>
          </w:p>
        </w:tc>
        <w:tc>
          <w:tcPr>
            <w:tcW w:w="1078" w:type="dxa"/>
            <w:vAlign w:val="center"/>
          </w:tcPr>
          <w:p>
            <w:pPr>
              <w:pStyle w:val="13"/>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04" w:type="dxa"/>
            <w:vAlign w:val="center"/>
          </w:tcPr>
          <w:p>
            <w:pPr>
              <w:pStyle w:val="14"/>
              <w:ind w:left="420"/>
              <w:rPr>
                <w:sz w:val="18"/>
                <w:szCs w:val="21"/>
              </w:rPr>
            </w:pPr>
            <w:r>
              <w:rPr>
                <w:sz w:val="18"/>
                <w:szCs w:val="21"/>
              </w:rPr>
              <w:t>海绵城市试点城市申报中介服务</w:t>
            </w:r>
          </w:p>
        </w:tc>
        <w:tc>
          <w:tcPr>
            <w:tcW w:w="992" w:type="dxa"/>
            <w:vAlign w:val="center"/>
          </w:tcPr>
          <w:p>
            <w:pPr>
              <w:pStyle w:val="13"/>
              <w:rPr>
                <w:sz w:val="18"/>
                <w:szCs w:val="21"/>
              </w:rPr>
            </w:pPr>
            <w:r>
              <w:rPr>
                <w:sz w:val="18"/>
                <w:szCs w:val="21"/>
              </w:rPr>
              <w:t>72.00</w:t>
            </w:r>
          </w:p>
        </w:tc>
        <w:tc>
          <w:tcPr>
            <w:tcW w:w="993" w:type="dxa"/>
            <w:vAlign w:val="center"/>
          </w:tcPr>
          <w:p>
            <w:pPr>
              <w:pStyle w:val="14"/>
              <w:rPr>
                <w:sz w:val="18"/>
                <w:szCs w:val="21"/>
              </w:rPr>
            </w:pPr>
            <w:r>
              <w:rPr>
                <w:sz w:val="18"/>
                <w:szCs w:val="21"/>
              </w:rPr>
              <w:t>城市规划和设计服务</w:t>
            </w:r>
          </w:p>
        </w:tc>
        <w:tc>
          <w:tcPr>
            <w:tcW w:w="850" w:type="dxa"/>
            <w:vAlign w:val="center"/>
          </w:tcPr>
          <w:p>
            <w:pPr>
              <w:pStyle w:val="14"/>
              <w:rPr>
                <w:sz w:val="18"/>
                <w:szCs w:val="21"/>
              </w:rPr>
            </w:pPr>
            <w:r>
              <w:rPr>
                <w:sz w:val="18"/>
                <w:szCs w:val="21"/>
              </w:rPr>
              <w:t>C1301</w:t>
            </w:r>
          </w:p>
        </w:tc>
        <w:tc>
          <w:tcPr>
            <w:tcW w:w="709" w:type="dxa"/>
            <w:vAlign w:val="center"/>
          </w:tcPr>
          <w:p>
            <w:pPr>
              <w:pStyle w:val="15"/>
              <w:rPr>
                <w:sz w:val="18"/>
                <w:szCs w:val="21"/>
              </w:rPr>
            </w:pPr>
            <w:r>
              <w:rPr>
                <w:sz w:val="18"/>
                <w:szCs w:val="21"/>
              </w:rPr>
              <w:t>项</w:t>
            </w:r>
          </w:p>
        </w:tc>
        <w:tc>
          <w:tcPr>
            <w:tcW w:w="567" w:type="dxa"/>
            <w:vAlign w:val="center"/>
          </w:tcPr>
          <w:p>
            <w:pPr>
              <w:pStyle w:val="13"/>
              <w:jc w:val="center"/>
              <w:rPr>
                <w:sz w:val="18"/>
                <w:szCs w:val="21"/>
              </w:rPr>
            </w:pPr>
            <w:r>
              <w:rPr>
                <w:sz w:val="18"/>
                <w:szCs w:val="21"/>
              </w:rPr>
              <w:t>1</w:t>
            </w:r>
          </w:p>
        </w:tc>
        <w:tc>
          <w:tcPr>
            <w:tcW w:w="992" w:type="dxa"/>
            <w:vAlign w:val="center"/>
          </w:tcPr>
          <w:p>
            <w:pPr>
              <w:pStyle w:val="13"/>
              <w:rPr>
                <w:sz w:val="18"/>
                <w:szCs w:val="21"/>
              </w:rPr>
            </w:pPr>
            <w:r>
              <w:rPr>
                <w:sz w:val="18"/>
                <w:szCs w:val="21"/>
              </w:rPr>
              <w:t>72.00</w:t>
            </w:r>
          </w:p>
        </w:tc>
        <w:tc>
          <w:tcPr>
            <w:tcW w:w="992" w:type="dxa"/>
            <w:vAlign w:val="center"/>
          </w:tcPr>
          <w:p>
            <w:pPr>
              <w:pStyle w:val="13"/>
              <w:rPr>
                <w:sz w:val="18"/>
                <w:szCs w:val="21"/>
              </w:rPr>
            </w:pPr>
            <w:r>
              <w:rPr>
                <w:sz w:val="18"/>
                <w:szCs w:val="21"/>
              </w:rPr>
              <w:t>72.00</w:t>
            </w:r>
          </w:p>
        </w:tc>
        <w:tc>
          <w:tcPr>
            <w:tcW w:w="993" w:type="dxa"/>
            <w:vAlign w:val="center"/>
          </w:tcPr>
          <w:p>
            <w:pPr>
              <w:pStyle w:val="13"/>
              <w:rPr>
                <w:sz w:val="18"/>
                <w:szCs w:val="21"/>
              </w:rPr>
            </w:pPr>
            <w:r>
              <w:rPr>
                <w:sz w:val="18"/>
                <w:szCs w:val="21"/>
              </w:rPr>
              <w:t>72.00</w:t>
            </w:r>
          </w:p>
        </w:tc>
        <w:tc>
          <w:tcPr>
            <w:tcW w:w="992" w:type="dxa"/>
            <w:vAlign w:val="center"/>
          </w:tcPr>
          <w:p>
            <w:pPr>
              <w:pStyle w:val="13"/>
              <w:rPr>
                <w:sz w:val="18"/>
                <w:szCs w:val="21"/>
              </w:rPr>
            </w:pPr>
          </w:p>
        </w:tc>
        <w:tc>
          <w:tcPr>
            <w:tcW w:w="992" w:type="dxa"/>
            <w:vAlign w:val="center"/>
          </w:tcPr>
          <w:p>
            <w:pPr>
              <w:pStyle w:val="13"/>
              <w:rPr>
                <w:sz w:val="18"/>
                <w:szCs w:val="21"/>
              </w:rPr>
            </w:pPr>
          </w:p>
        </w:tc>
        <w:tc>
          <w:tcPr>
            <w:tcW w:w="851" w:type="dxa"/>
            <w:vAlign w:val="center"/>
          </w:tcPr>
          <w:p>
            <w:pPr>
              <w:pStyle w:val="13"/>
              <w:rPr>
                <w:sz w:val="18"/>
                <w:szCs w:val="21"/>
              </w:rPr>
            </w:pPr>
          </w:p>
        </w:tc>
        <w:tc>
          <w:tcPr>
            <w:tcW w:w="708" w:type="dxa"/>
            <w:vAlign w:val="center"/>
          </w:tcPr>
          <w:p>
            <w:pPr>
              <w:pStyle w:val="13"/>
              <w:rPr>
                <w:sz w:val="18"/>
                <w:szCs w:val="21"/>
              </w:rPr>
            </w:pPr>
          </w:p>
        </w:tc>
        <w:tc>
          <w:tcPr>
            <w:tcW w:w="851" w:type="dxa"/>
            <w:vAlign w:val="center"/>
          </w:tcPr>
          <w:p>
            <w:pPr>
              <w:pStyle w:val="13"/>
              <w:rPr>
                <w:sz w:val="18"/>
                <w:szCs w:val="21"/>
              </w:rPr>
            </w:pPr>
          </w:p>
        </w:tc>
        <w:tc>
          <w:tcPr>
            <w:tcW w:w="850" w:type="dxa"/>
            <w:vAlign w:val="center"/>
          </w:tcPr>
          <w:p>
            <w:pPr>
              <w:pStyle w:val="13"/>
              <w:rPr>
                <w:sz w:val="18"/>
                <w:szCs w:val="21"/>
              </w:rPr>
            </w:pPr>
          </w:p>
        </w:tc>
        <w:tc>
          <w:tcPr>
            <w:tcW w:w="1078" w:type="dxa"/>
            <w:vAlign w:val="center"/>
          </w:tcPr>
          <w:p>
            <w:pPr>
              <w:pStyle w:val="13"/>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04" w:type="dxa"/>
            <w:vAlign w:val="center"/>
          </w:tcPr>
          <w:p>
            <w:pPr>
              <w:pStyle w:val="14"/>
              <w:ind w:left="420"/>
              <w:rPr>
                <w:sz w:val="18"/>
                <w:szCs w:val="21"/>
              </w:rPr>
            </w:pPr>
            <w:r>
              <w:rPr>
                <w:sz w:val="18"/>
                <w:szCs w:val="21"/>
              </w:rPr>
              <w:t>三河市“城市家具”整体设计方案</w:t>
            </w:r>
          </w:p>
        </w:tc>
        <w:tc>
          <w:tcPr>
            <w:tcW w:w="992" w:type="dxa"/>
            <w:vAlign w:val="center"/>
          </w:tcPr>
          <w:p>
            <w:pPr>
              <w:pStyle w:val="13"/>
              <w:rPr>
                <w:sz w:val="18"/>
                <w:szCs w:val="21"/>
              </w:rPr>
            </w:pPr>
            <w:r>
              <w:rPr>
                <w:sz w:val="18"/>
                <w:szCs w:val="21"/>
              </w:rPr>
              <w:t>300.00</w:t>
            </w:r>
          </w:p>
        </w:tc>
        <w:tc>
          <w:tcPr>
            <w:tcW w:w="993" w:type="dxa"/>
            <w:vAlign w:val="center"/>
          </w:tcPr>
          <w:p>
            <w:pPr>
              <w:pStyle w:val="14"/>
              <w:rPr>
                <w:sz w:val="18"/>
                <w:szCs w:val="21"/>
              </w:rPr>
            </w:pPr>
            <w:r>
              <w:rPr>
                <w:sz w:val="18"/>
                <w:szCs w:val="21"/>
              </w:rPr>
              <w:t>城市规划和设计服务</w:t>
            </w:r>
          </w:p>
        </w:tc>
        <w:tc>
          <w:tcPr>
            <w:tcW w:w="850" w:type="dxa"/>
            <w:vAlign w:val="center"/>
          </w:tcPr>
          <w:p>
            <w:pPr>
              <w:pStyle w:val="14"/>
              <w:rPr>
                <w:sz w:val="18"/>
                <w:szCs w:val="21"/>
              </w:rPr>
            </w:pPr>
            <w:r>
              <w:rPr>
                <w:sz w:val="18"/>
                <w:szCs w:val="21"/>
              </w:rPr>
              <w:t>C1301</w:t>
            </w:r>
          </w:p>
        </w:tc>
        <w:tc>
          <w:tcPr>
            <w:tcW w:w="709" w:type="dxa"/>
            <w:vAlign w:val="center"/>
          </w:tcPr>
          <w:p>
            <w:pPr>
              <w:pStyle w:val="15"/>
              <w:rPr>
                <w:sz w:val="18"/>
                <w:szCs w:val="21"/>
              </w:rPr>
            </w:pPr>
            <w:r>
              <w:rPr>
                <w:sz w:val="18"/>
                <w:szCs w:val="21"/>
              </w:rPr>
              <w:t>项</w:t>
            </w:r>
          </w:p>
        </w:tc>
        <w:tc>
          <w:tcPr>
            <w:tcW w:w="567" w:type="dxa"/>
            <w:vAlign w:val="center"/>
          </w:tcPr>
          <w:p>
            <w:pPr>
              <w:pStyle w:val="13"/>
              <w:jc w:val="center"/>
              <w:rPr>
                <w:sz w:val="18"/>
                <w:szCs w:val="21"/>
              </w:rPr>
            </w:pPr>
            <w:r>
              <w:rPr>
                <w:sz w:val="18"/>
                <w:szCs w:val="21"/>
              </w:rPr>
              <w:t>1</w:t>
            </w:r>
          </w:p>
        </w:tc>
        <w:tc>
          <w:tcPr>
            <w:tcW w:w="992" w:type="dxa"/>
            <w:vAlign w:val="center"/>
          </w:tcPr>
          <w:p>
            <w:pPr>
              <w:pStyle w:val="13"/>
              <w:rPr>
                <w:sz w:val="18"/>
                <w:szCs w:val="21"/>
              </w:rPr>
            </w:pPr>
            <w:r>
              <w:rPr>
                <w:sz w:val="18"/>
                <w:szCs w:val="21"/>
              </w:rPr>
              <w:t>300.00</w:t>
            </w:r>
          </w:p>
        </w:tc>
        <w:tc>
          <w:tcPr>
            <w:tcW w:w="992" w:type="dxa"/>
            <w:vAlign w:val="center"/>
          </w:tcPr>
          <w:p>
            <w:pPr>
              <w:pStyle w:val="13"/>
              <w:rPr>
                <w:sz w:val="18"/>
                <w:szCs w:val="21"/>
              </w:rPr>
            </w:pPr>
            <w:r>
              <w:rPr>
                <w:sz w:val="18"/>
                <w:szCs w:val="21"/>
              </w:rPr>
              <w:t>300.00</w:t>
            </w:r>
          </w:p>
        </w:tc>
        <w:tc>
          <w:tcPr>
            <w:tcW w:w="993" w:type="dxa"/>
            <w:vAlign w:val="center"/>
          </w:tcPr>
          <w:p>
            <w:pPr>
              <w:pStyle w:val="13"/>
              <w:rPr>
                <w:sz w:val="18"/>
                <w:szCs w:val="21"/>
              </w:rPr>
            </w:pPr>
            <w:r>
              <w:rPr>
                <w:sz w:val="18"/>
                <w:szCs w:val="21"/>
              </w:rPr>
              <w:t>300.00</w:t>
            </w:r>
          </w:p>
        </w:tc>
        <w:tc>
          <w:tcPr>
            <w:tcW w:w="992" w:type="dxa"/>
            <w:vAlign w:val="center"/>
          </w:tcPr>
          <w:p>
            <w:pPr>
              <w:pStyle w:val="13"/>
              <w:rPr>
                <w:sz w:val="18"/>
                <w:szCs w:val="21"/>
              </w:rPr>
            </w:pPr>
          </w:p>
        </w:tc>
        <w:tc>
          <w:tcPr>
            <w:tcW w:w="992" w:type="dxa"/>
            <w:vAlign w:val="center"/>
          </w:tcPr>
          <w:p>
            <w:pPr>
              <w:pStyle w:val="13"/>
              <w:rPr>
                <w:sz w:val="18"/>
                <w:szCs w:val="21"/>
              </w:rPr>
            </w:pPr>
          </w:p>
        </w:tc>
        <w:tc>
          <w:tcPr>
            <w:tcW w:w="851" w:type="dxa"/>
            <w:vAlign w:val="center"/>
          </w:tcPr>
          <w:p>
            <w:pPr>
              <w:pStyle w:val="13"/>
              <w:rPr>
                <w:sz w:val="18"/>
                <w:szCs w:val="21"/>
              </w:rPr>
            </w:pPr>
          </w:p>
        </w:tc>
        <w:tc>
          <w:tcPr>
            <w:tcW w:w="708" w:type="dxa"/>
            <w:vAlign w:val="center"/>
          </w:tcPr>
          <w:p>
            <w:pPr>
              <w:pStyle w:val="13"/>
              <w:rPr>
                <w:sz w:val="18"/>
                <w:szCs w:val="21"/>
              </w:rPr>
            </w:pPr>
          </w:p>
        </w:tc>
        <w:tc>
          <w:tcPr>
            <w:tcW w:w="851" w:type="dxa"/>
            <w:vAlign w:val="center"/>
          </w:tcPr>
          <w:p>
            <w:pPr>
              <w:pStyle w:val="13"/>
              <w:rPr>
                <w:sz w:val="18"/>
                <w:szCs w:val="21"/>
              </w:rPr>
            </w:pPr>
          </w:p>
        </w:tc>
        <w:tc>
          <w:tcPr>
            <w:tcW w:w="850" w:type="dxa"/>
            <w:vAlign w:val="center"/>
          </w:tcPr>
          <w:p>
            <w:pPr>
              <w:pStyle w:val="13"/>
              <w:rPr>
                <w:sz w:val="18"/>
                <w:szCs w:val="21"/>
              </w:rPr>
            </w:pPr>
          </w:p>
        </w:tc>
        <w:tc>
          <w:tcPr>
            <w:tcW w:w="1078" w:type="dxa"/>
            <w:vAlign w:val="center"/>
          </w:tcPr>
          <w:p>
            <w:pPr>
              <w:pStyle w:val="13"/>
              <w:rPr>
                <w:sz w:val="18"/>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04" w:type="dxa"/>
            <w:vAlign w:val="center"/>
          </w:tcPr>
          <w:p>
            <w:pPr>
              <w:pStyle w:val="14"/>
              <w:ind w:left="420"/>
              <w:rPr>
                <w:sz w:val="18"/>
                <w:szCs w:val="21"/>
              </w:rPr>
            </w:pPr>
            <w:r>
              <w:rPr>
                <w:sz w:val="18"/>
                <w:szCs w:val="21"/>
              </w:rPr>
              <w:t>无物业小区规范化管理</w:t>
            </w:r>
          </w:p>
        </w:tc>
        <w:tc>
          <w:tcPr>
            <w:tcW w:w="992" w:type="dxa"/>
            <w:vAlign w:val="center"/>
          </w:tcPr>
          <w:p>
            <w:pPr>
              <w:pStyle w:val="13"/>
              <w:rPr>
                <w:sz w:val="18"/>
                <w:szCs w:val="21"/>
              </w:rPr>
            </w:pPr>
            <w:r>
              <w:rPr>
                <w:sz w:val="18"/>
                <w:szCs w:val="21"/>
              </w:rPr>
              <w:t>780.00</w:t>
            </w:r>
          </w:p>
        </w:tc>
        <w:tc>
          <w:tcPr>
            <w:tcW w:w="993" w:type="dxa"/>
            <w:vAlign w:val="center"/>
          </w:tcPr>
          <w:p>
            <w:pPr>
              <w:pStyle w:val="14"/>
              <w:rPr>
                <w:sz w:val="18"/>
                <w:szCs w:val="21"/>
              </w:rPr>
            </w:pPr>
            <w:r>
              <w:rPr>
                <w:sz w:val="18"/>
                <w:szCs w:val="21"/>
              </w:rPr>
              <w:t>物业管理服务</w:t>
            </w:r>
          </w:p>
        </w:tc>
        <w:tc>
          <w:tcPr>
            <w:tcW w:w="850" w:type="dxa"/>
            <w:vAlign w:val="center"/>
          </w:tcPr>
          <w:p>
            <w:pPr>
              <w:pStyle w:val="14"/>
              <w:rPr>
                <w:sz w:val="18"/>
                <w:szCs w:val="21"/>
              </w:rPr>
            </w:pPr>
            <w:r>
              <w:rPr>
                <w:sz w:val="18"/>
                <w:szCs w:val="21"/>
              </w:rPr>
              <w:t>C1204</w:t>
            </w:r>
          </w:p>
        </w:tc>
        <w:tc>
          <w:tcPr>
            <w:tcW w:w="709" w:type="dxa"/>
            <w:vAlign w:val="center"/>
          </w:tcPr>
          <w:p>
            <w:pPr>
              <w:pStyle w:val="15"/>
              <w:rPr>
                <w:sz w:val="18"/>
                <w:szCs w:val="21"/>
              </w:rPr>
            </w:pPr>
            <w:r>
              <w:rPr>
                <w:sz w:val="18"/>
                <w:szCs w:val="21"/>
              </w:rPr>
              <w:t>项</w:t>
            </w:r>
          </w:p>
        </w:tc>
        <w:tc>
          <w:tcPr>
            <w:tcW w:w="567" w:type="dxa"/>
            <w:vAlign w:val="center"/>
          </w:tcPr>
          <w:p>
            <w:pPr>
              <w:pStyle w:val="13"/>
              <w:jc w:val="center"/>
              <w:rPr>
                <w:sz w:val="18"/>
                <w:szCs w:val="21"/>
              </w:rPr>
            </w:pPr>
            <w:r>
              <w:rPr>
                <w:sz w:val="18"/>
                <w:szCs w:val="21"/>
              </w:rPr>
              <w:t>1</w:t>
            </w:r>
          </w:p>
        </w:tc>
        <w:tc>
          <w:tcPr>
            <w:tcW w:w="992" w:type="dxa"/>
            <w:vAlign w:val="center"/>
          </w:tcPr>
          <w:p>
            <w:pPr>
              <w:pStyle w:val="13"/>
              <w:rPr>
                <w:sz w:val="18"/>
                <w:szCs w:val="21"/>
              </w:rPr>
            </w:pPr>
            <w:r>
              <w:rPr>
                <w:sz w:val="18"/>
                <w:szCs w:val="21"/>
              </w:rPr>
              <w:t>780.00</w:t>
            </w:r>
          </w:p>
        </w:tc>
        <w:tc>
          <w:tcPr>
            <w:tcW w:w="992" w:type="dxa"/>
            <w:vAlign w:val="center"/>
          </w:tcPr>
          <w:p>
            <w:pPr>
              <w:pStyle w:val="13"/>
              <w:rPr>
                <w:sz w:val="18"/>
                <w:szCs w:val="21"/>
              </w:rPr>
            </w:pPr>
            <w:r>
              <w:rPr>
                <w:sz w:val="18"/>
                <w:szCs w:val="21"/>
              </w:rPr>
              <w:t>780.00</w:t>
            </w:r>
          </w:p>
        </w:tc>
        <w:tc>
          <w:tcPr>
            <w:tcW w:w="993" w:type="dxa"/>
            <w:vAlign w:val="center"/>
          </w:tcPr>
          <w:p>
            <w:pPr>
              <w:pStyle w:val="13"/>
              <w:rPr>
                <w:sz w:val="18"/>
                <w:szCs w:val="21"/>
              </w:rPr>
            </w:pPr>
            <w:r>
              <w:rPr>
                <w:sz w:val="18"/>
                <w:szCs w:val="21"/>
              </w:rPr>
              <w:t>780.00</w:t>
            </w:r>
          </w:p>
        </w:tc>
        <w:tc>
          <w:tcPr>
            <w:tcW w:w="992" w:type="dxa"/>
            <w:vAlign w:val="center"/>
          </w:tcPr>
          <w:p>
            <w:pPr>
              <w:pStyle w:val="13"/>
              <w:rPr>
                <w:sz w:val="18"/>
                <w:szCs w:val="21"/>
              </w:rPr>
            </w:pPr>
          </w:p>
        </w:tc>
        <w:tc>
          <w:tcPr>
            <w:tcW w:w="992" w:type="dxa"/>
            <w:vAlign w:val="center"/>
          </w:tcPr>
          <w:p>
            <w:pPr>
              <w:pStyle w:val="13"/>
              <w:rPr>
                <w:sz w:val="18"/>
                <w:szCs w:val="21"/>
              </w:rPr>
            </w:pPr>
          </w:p>
        </w:tc>
        <w:tc>
          <w:tcPr>
            <w:tcW w:w="851" w:type="dxa"/>
            <w:vAlign w:val="center"/>
          </w:tcPr>
          <w:p>
            <w:pPr>
              <w:pStyle w:val="13"/>
              <w:rPr>
                <w:sz w:val="18"/>
                <w:szCs w:val="21"/>
              </w:rPr>
            </w:pPr>
          </w:p>
        </w:tc>
        <w:tc>
          <w:tcPr>
            <w:tcW w:w="708" w:type="dxa"/>
            <w:vAlign w:val="center"/>
          </w:tcPr>
          <w:p>
            <w:pPr>
              <w:pStyle w:val="13"/>
              <w:rPr>
                <w:sz w:val="18"/>
                <w:szCs w:val="21"/>
              </w:rPr>
            </w:pPr>
          </w:p>
        </w:tc>
        <w:tc>
          <w:tcPr>
            <w:tcW w:w="851" w:type="dxa"/>
            <w:vAlign w:val="center"/>
          </w:tcPr>
          <w:p>
            <w:pPr>
              <w:pStyle w:val="13"/>
              <w:rPr>
                <w:sz w:val="18"/>
                <w:szCs w:val="21"/>
              </w:rPr>
            </w:pPr>
          </w:p>
        </w:tc>
        <w:tc>
          <w:tcPr>
            <w:tcW w:w="850" w:type="dxa"/>
            <w:vAlign w:val="center"/>
          </w:tcPr>
          <w:p>
            <w:pPr>
              <w:pStyle w:val="13"/>
              <w:rPr>
                <w:sz w:val="18"/>
                <w:szCs w:val="21"/>
              </w:rPr>
            </w:pPr>
          </w:p>
        </w:tc>
        <w:tc>
          <w:tcPr>
            <w:tcW w:w="1078" w:type="dxa"/>
            <w:vAlign w:val="center"/>
          </w:tcPr>
          <w:p>
            <w:pPr>
              <w:pStyle w:val="13"/>
              <w:rPr>
                <w:sz w:val="18"/>
                <w:szCs w:val="21"/>
              </w:rPr>
            </w:pPr>
            <w:r>
              <w:rPr>
                <w:sz w:val="18"/>
                <w:szCs w:val="21"/>
              </w:rPr>
              <w:t>780.00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004" w:type="dxa"/>
            <w:vAlign w:val="center"/>
          </w:tcPr>
          <w:p>
            <w:pPr>
              <w:pStyle w:val="14"/>
              <w:ind w:left="420"/>
              <w:rPr>
                <w:sz w:val="18"/>
                <w:szCs w:val="21"/>
              </w:rPr>
            </w:pPr>
            <w:r>
              <w:rPr>
                <w:rFonts w:hint="eastAsia"/>
                <w:sz w:val="18"/>
                <w:szCs w:val="21"/>
              </w:rPr>
              <w:t>2022年公共住房维修</w:t>
            </w:r>
          </w:p>
        </w:tc>
        <w:tc>
          <w:tcPr>
            <w:tcW w:w="992" w:type="dxa"/>
            <w:vAlign w:val="center"/>
          </w:tcPr>
          <w:p>
            <w:pPr>
              <w:pStyle w:val="13"/>
              <w:rPr>
                <w:rFonts w:hint="eastAsia"/>
                <w:sz w:val="18"/>
                <w:szCs w:val="21"/>
              </w:rPr>
            </w:pPr>
            <w:r>
              <w:rPr>
                <w:rFonts w:hint="eastAsia"/>
                <w:sz w:val="18"/>
                <w:szCs w:val="21"/>
              </w:rPr>
              <w:t>110</w:t>
            </w:r>
            <w:r>
              <w:rPr>
                <w:rFonts w:hint="eastAsia" w:asciiTheme="minorEastAsia" w:hAnsiTheme="minorEastAsia" w:eastAsiaTheme="minorEastAsia"/>
                <w:sz w:val="18"/>
                <w:szCs w:val="21"/>
                <w:lang w:eastAsia="zh-CN"/>
              </w:rPr>
              <w:t>.</w:t>
            </w:r>
            <w:r>
              <w:rPr>
                <w:rFonts w:hint="eastAsia"/>
                <w:sz w:val="18"/>
                <w:szCs w:val="21"/>
              </w:rPr>
              <w:t>00</w:t>
            </w:r>
          </w:p>
        </w:tc>
        <w:tc>
          <w:tcPr>
            <w:tcW w:w="993" w:type="dxa"/>
            <w:vAlign w:val="center"/>
          </w:tcPr>
          <w:p>
            <w:pPr>
              <w:pStyle w:val="14"/>
              <w:rPr>
                <w:sz w:val="18"/>
                <w:szCs w:val="21"/>
              </w:rPr>
            </w:pPr>
            <w:r>
              <w:rPr>
                <w:rFonts w:hint="eastAsia"/>
                <w:sz w:val="18"/>
                <w:szCs w:val="21"/>
              </w:rPr>
              <w:t>其他市政公共设施管理服务</w:t>
            </w:r>
          </w:p>
        </w:tc>
        <w:tc>
          <w:tcPr>
            <w:tcW w:w="850" w:type="dxa"/>
            <w:vAlign w:val="center"/>
          </w:tcPr>
          <w:p>
            <w:pPr>
              <w:pStyle w:val="14"/>
              <w:rPr>
                <w:rFonts w:hint="eastAsia" w:eastAsiaTheme="minorEastAsia"/>
                <w:sz w:val="18"/>
                <w:szCs w:val="21"/>
                <w:lang w:eastAsia="zh-CN"/>
              </w:rPr>
            </w:pPr>
            <w:r>
              <w:rPr>
                <w:rFonts w:hint="eastAsia" w:eastAsiaTheme="minorEastAsia"/>
                <w:sz w:val="18"/>
                <w:szCs w:val="21"/>
                <w:lang w:eastAsia="zh-CN"/>
              </w:rPr>
              <w:t>C</w:t>
            </w:r>
            <w:r>
              <w:rPr>
                <w:rFonts w:eastAsiaTheme="minorEastAsia"/>
                <w:sz w:val="18"/>
                <w:szCs w:val="21"/>
                <w:lang w:eastAsia="zh-CN"/>
              </w:rPr>
              <w:t>1399</w:t>
            </w:r>
          </w:p>
        </w:tc>
        <w:tc>
          <w:tcPr>
            <w:tcW w:w="709" w:type="dxa"/>
            <w:vAlign w:val="center"/>
          </w:tcPr>
          <w:p>
            <w:pPr>
              <w:pStyle w:val="15"/>
              <w:rPr>
                <w:sz w:val="18"/>
                <w:szCs w:val="21"/>
              </w:rPr>
            </w:pPr>
            <w:r>
              <w:rPr>
                <w:rFonts w:hint="eastAsia"/>
                <w:sz w:val="18"/>
                <w:szCs w:val="21"/>
              </w:rPr>
              <w:t>项</w:t>
            </w:r>
          </w:p>
        </w:tc>
        <w:tc>
          <w:tcPr>
            <w:tcW w:w="567" w:type="dxa"/>
            <w:vAlign w:val="center"/>
          </w:tcPr>
          <w:p>
            <w:pPr>
              <w:pStyle w:val="13"/>
              <w:jc w:val="center"/>
              <w:rPr>
                <w:sz w:val="18"/>
                <w:szCs w:val="21"/>
              </w:rPr>
            </w:pPr>
            <w:r>
              <w:rPr>
                <w:rFonts w:hint="eastAsia"/>
                <w:sz w:val="18"/>
                <w:szCs w:val="21"/>
              </w:rPr>
              <w:t>1</w:t>
            </w:r>
          </w:p>
        </w:tc>
        <w:tc>
          <w:tcPr>
            <w:tcW w:w="992" w:type="dxa"/>
            <w:vAlign w:val="center"/>
          </w:tcPr>
          <w:p>
            <w:pPr>
              <w:pStyle w:val="13"/>
              <w:rPr>
                <w:sz w:val="18"/>
                <w:szCs w:val="21"/>
              </w:rPr>
            </w:pPr>
            <w:r>
              <w:rPr>
                <w:rFonts w:hint="eastAsia"/>
                <w:sz w:val="18"/>
                <w:szCs w:val="21"/>
              </w:rPr>
              <w:t>110.00</w:t>
            </w:r>
          </w:p>
        </w:tc>
        <w:tc>
          <w:tcPr>
            <w:tcW w:w="992" w:type="dxa"/>
            <w:vAlign w:val="center"/>
          </w:tcPr>
          <w:p>
            <w:pPr>
              <w:pStyle w:val="13"/>
              <w:rPr>
                <w:sz w:val="18"/>
                <w:szCs w:val="21"/>
              </w:rPr>
            </w:pPr>
            <w:r>
              <w:rPr>
                <w:rFonts w:hint="eastAsia"/>
                <w:sz w:val="18"/>
                <w:szCs w:val="21"/>
              </w:rPr>
              <w:t>110.00</w:t>
            </w:r>
          </w:p>
        </w:tc>
        <w:tc>
          <w:tcPr>
            <w:tcW w:w="993" w:type="dxa"/>
            <w:vAlign w:val="center"/>
          </w:tcPr>
          <w:p>
            <w:pPr>
              <w:pStyle w:val="13"/>
              <w:rPr>
                <w:sz w:val="18"/>
                <w:szCs w:val="21"/>
              </w:rPr>
            </w:pPr>
          </w:p>
        </w:tc>
        <w:tc>
          <w:tcPr>
            <w:tcW w:w="992" w:type="dxa"/>
            <w:vAlign w:val="center"/>
          </w:tcPr>
          <w:p>
            <w:pPr>
              <w:pStyle w:val="13"/>
              <w:rPr>
                <w:sz w:val="18"/>
                <w:szCs w:val="21"/>
              </w:rPr>
            </w:pPr>
            <w:r>
              <w:rPr>
                <w:rFonts w:hint="eastAsia"/>
                <w:sz w:val="18"/>
                <w:szCs w:val="21"/>
              </w:rPr>
              <w:t>110.00</w:t>
            </w:r>
          </w:p>
        </w:tc>
        <w:tc>
          <w:tcPr>
            <w:tcW w:w="992" w:type="dxa"/>
            <w:vAlign w:val="center"/>
          </w:tcPr>
          <w:p>
            <w:pPr>
              <w:pStyle w:val="13"/>
              <w:rPr>
                <w:sz w:val="18"/>
                <w:szCs w:val="21"/>
              </w:rPr>
            </w:pPr>
          </w:p>
        </w:tc>
        <w:tc>
          <w:tcPr>
            <w:tcW w:w="851" w:type="dxa"/>
            <w:vAlign w:val="center"/>
          </w:tcPr>
          <w:p>
            <w:pPr>
              <w:pStyle w:val="13"/>
              <w:rPr>
                <w:sz w:val="18"/>
                <w:szCs w:val="21"/>
              </w:rPr>
            </w:pPr>
          </w:p>
        </w:tc>
        <w:tc>
          <w:tcPr>
            <w:tcW w:w="708" w:type="dxa"/>
            <w:vAlign w:val="center"/>
          </w:tcPr>
          <w:p>
            <w:pPr>
              <w:pStyle w:val="13"/>
              <w:rPr>
                <w:sz w:val="18"/>
                <w:szCs w:val="21"/>
              </w:rPr>
            </w:pPr>
          </w:p>
        </w:tc>
        <w:tc>
          <w:tcPr>
            <w:tcW w:w="851" w:type="dxa"/>
            <w:vAlign w:val="center"/>
          </w:tcPr>
          <w:p>
            <w:pPr>
              <w:pStyle w:val="13"/>
              <w:rPr>
                <w:sz w:val="18"/>
                <w:szCs w:val="21"/>
              </w:rPr>
            </w:pPr>
          </w:p>
        </w:tc>
        <w:tc>
          <w:tcPr>
            <w:tcW w:w="850" w:type="dxa"/>
            <w:vAlign w:val="center"/>
          </w:tcPr>
          <w:p>
            <w:pPr>
              <w:pStyle w:val="13"/>
              <w:rPr>
                <w:sz w:val="18"/>
                <w:szCs w:val="21"/>
              </w:rPr>
            </w:pPr>
          </w:p>
        </w:tc>
        <w:tc>
          <w:tcPr>
            <w:tcW w:w="1078" w:type="dxa"/>
            <w:vAlign w:val="center"/>
          </w:tcPr>
          <w:p>
            <w:pPr>
              <w:pStyle w:val="13"/>
              <w:rPr>
                <w:sz w:val="18"/>
                <w:szCs w:val="21"/>
              </w:rPr>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住房和城乡建设局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w:t>
      </w:r>
      <w:bookmarkStart w:id="144" w:name="_GoBack"/>
      <w:bookmarkEnd w:id="144"/>
      <w:r>
        <w:rPr>
          <w:rFonts w:ascii="Times New Roman" w:hAnsi="Times New Roman" w:eastAsia="仿宋_GB2312" w:cs="Times New Roman"/>
          <w:sz w:val="32"/>
          <w:szCs w:val="32"/>
        </w:rPr>
        <w:t>0986.01万元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73.8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制冷电器2台，洒水车2辆</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rPr>
              <w:t>住房城乡建设局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0986.01</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7416.06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w:t>
            </w:r>
            <w:r>
              <w:rPr>
                <w:rFonts w:ascii="Times New Roman" w:hAnsi="Times New Roman" w:eastAsia="仿宋_GB2312" w:cs="Times New Roman"/>
                <w:sz w:val="22"/>
              </w:rPr>
              <w:t>153.3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6634.06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w:t>
            </w:r>
            <w:r>
              <w:rPr>
                <w:rFonts w:ascii="Times New Roman" w:hAnsi="Times New Roman" w:eastAsia="仿宋_GB2312" w:cs="Times New Roman"/>
                <w:sz w:val="22"/>
              </w:rPr>
              <w:t>829.92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r>
              <w:rPr>
                <w:rFonts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w:t>
            </w:r>
            <w:r>
              <w:rPr>
                <w:rFonts w:ascii="Times New Roman" w:hAnsi="Times New Roman" w:eastAsia="仿宋_GB2312" w:cs="Times New Roman"/>
                <w:sz w:val="22"/>
              </w:rPr>
              <w:t>90.33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w:t>
            </w:r>
            <w:r>
              <w:rPr>
                <w:rFonts w:ascii="Times New Roman" w:hAnsi="Times New Roman" w:eastAsia="仿宋_GB2312" w:cs="Times New Roman"/>
                <w:sz w:val="22"/>
              </w:rPr>
              <w:t>10.34</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432.04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0821"/>
    <w:rsid w:val="000230E6"/>
    <w:rsid w:val="00033084"/>
    <w:rsid w:val="00061765"/>
    <w:rsid w:val="00083DC2"/>
    <w:rsid w:val="000B7C40"/>
    <w:rsid w:val="000C72CB"/>
    <w:rsid w:val="000D389B"/>
    <w:rsid w:val="000E39D3"/>
    <w:rsid w:val="000E5891"/>
    <w:rsid w:val="000F3567"/>
    <w:rsid w:val="0010095E"/>
    <w:rsid w:val="00135164"/>
    <w:rsid w:val="00160A21"/>
    <w:rsid w:val="00176B8F"/>
    <w:rsid w:val="00181302"/>
    <w:rsid w:val="001A2FCE"/>
    <w:rsid w:val="001B7ECE"/>
    <w:rsid w:val="001C48E0"/>
    <w:rsid w:val="001E01A8"/>
    <w:rsid w:val="001F722B"/>
    <w:rsid w:val="00204D0A"/>
    <w:rsid w:val="00232113"/>
    <w:rsid w:val="00245FEE"/>
    <w:rsid w:val="00247EEC"/>
    <w:rsid w:val="002503E4"/>
    <w:rsid w:val="0025632D"/>
    <w:rsid w:val="002569B3"/>
    <w:rsid w:val="0026750E"/>
    <w:rsid w:val="002B3B1D"/>
    <w:rsid w:val="002D0271"/>
    <w:rsid w:val="00314A2A"/>
    <w:rsid w:val="00323502"/>
    <w:rsid w:val="00332A2F"/>
    <w:rsid w:val="00351386"/>
    <w:rsid w:val="003533F4"/>
    <w:rsid w:val="00380AA9"/>
    <w:rsid w:val="003912C2"/>
    <w:rsid w:val="003C232C"/>
    <w:rsid w:val="003C3EE3"/>
    <w:rsid w:val="003E026C"/>
    <w:rsid w:val="003E36E4"/>
    <w:rsid w:val="004342DB"/>
    <w:rsid w:val="00440724"/>
    <w:rsid w:val="0044254C"/>
    <w:rsid w:val="004454C2"/>
    <w:rsid w:val="004565FE"/>
    <w:rsid w:val="00485B99"/>
    <w:rsid w:val="004A0123"/>
    <w:rsid w:val="004A41C8"/>
    <w:rsid w:val="004A54AA"/>
    <w:rsid w:val="004D7A06"/>
    <w:rsid w:val="004E46AB"/>
    <w:rsid w:val="004F3BD6"/>
    <w:rsid w:val="00504414"/>
    <w:rsid w:val="00504BD9"/>
    <w:rsid w:val="0051111F"/>
    <w:rsid w:val="00524090"/>
    <w:rsid w:val="00551E4C"/>
    <w:rsid w:val="00560951"/>
    <w:rsid w:val="005669B5"/>
    <w:rsid w:val="00577917"/>
    <w:rsid w:val="005801C8"/>
    <w:rsid w:val="005949E2"/>
    <w:rsid w:val="005A1EF2"/>
    <w:rsid w:val="005A25D8"/>
    <w:rsid w:val="005A2FBD"/>
    <w:rsid w:val="00612608"/>
    <w:rsid w:val="006248CA"/>
    <w:rsid w:val="00637D05"/>
    <w:rsid w:val="006665DB"/>
    <w:rsid w:val="00686259"/>
    <w:rsid w:val="006D7C81"/>
    <w:rsid w:val="006F1A10"/>
    <w:rsid w:val="006F1B75"/>
    <w:rsid w:val="00717104"/>
    <w:rsid w:val="00717D5A"/>
    <w:rsid w:val="00734525"/>
    <w:rsid w:val="00756F29"/>
    <w:rsid w:val="007A2D12"/>
    <w:rsid w:val="007F72A4"/>
    <w:rsid w:val="00827DE1"/>
    <w:rsid w:val="00843281"/>
    <w:rsid w:val="00844E9F"/>
    <w:rsid w:val="008662B0"/>
    <w:rsid w:val="00872A5A"/>
    <w:rsid w:val="00875CF4"/>
    <w:rsid w:val="0088065E"/>
    <w:rsid w:val="008B2830"/>
    <w:rsid w:val="008C1DFA"/>
    <w:rsid w:val="008C3DDC"/>
    <w:rsid w:val="008E0917"/>
    <w:rsid w:val="0090113A"/>
    <w:rsid w:val="0091277A"/>
    <w:rsid w:val="00916C9C"/>
    <w:rsid w:val="00925230"/>
    <w:rsid w:val="00926D4A"/>
    <w:rsid w:val="00930A88"/>
    <w:rsid w:val="00934C81"/>
    <w:rsid w:val="00936DF1"/>
    <w:rsid w:val="00937225"/>
    <w:rsid w:val="00944233"/>
    <w:rsid w:val="0096348A"/>
    <w:rsid w:val="009722E3"/>
    <w:rsid w:val="009730E0"/>
    <w:rsid w:val="009A0E95"/>
    <w:rsid w:val="009B1337"/>
    <w:rsid w:val="00A47CE6"/>
    <w:rsid w:val="00A51A6D"/>
    <w:rsid w:val="00A54CD1"/>
    <w:rsid w:val="00A57335"/>
    <w:rsid w:val="00A82DBD"/>
    <w:rsid w:val="00AA709C"/>
    <w:rsid w:val="00AB3F2C"/>
    <w:rsid w:val="00AB4268"/>
    <w:rsid w:val="00AE2A29"/>
    <w:rsid w:val="00AF19EE"/>
    <w:rsid w:val="00AF44BB"/>
    <w:rsid w:val="00AF78D6"/>
    <w:rsid w:val="00B052B9"/>
    <w:rsid w:val="00B40732"/>
    <w:rsid w:val="00B57BBD"/>
    <w:rsid w:val="00B7420F"/>
    <w:rsid w:val="00B80935"/>
    <w:rsid w:val="00B844E5"/>
    <w:rsid w:val="00BA1184"/>
    <w:rsid w:val="00BC2EBD"/>
    <w:rsid w:val="00BD73F2"/>
    <w:rsid w:val="00C01500"/>
    <w:rsid w:val="00C028DC"/>
    <w:rsid w:val="00C03117"/>
    <w:rsid w:val="00C365C4"/>
    <w:rsid w:val="00C4046E"/>
    <w:rsid w:val="00C718E2"/>
    <w:rsid w:val="00CB6E73"/>
    <w:rsid w:val="00CB7D49"/>
    <w:rsid w:val="00D20608"/>
    <w:rsid w:val="00D347CC"/>
    <w:rsid w:val="00D70A39"/>
    <w:rsid w:val="00D9397B"/>
    <w:rsid w:val="00DA558E"/>
    <w:rsid w:val="00DB745E"/>
    <w:rsid w:val="00DF0A40"/>
    <w:rsid w:val="00E2269B"/>
    <w:rsid w:val="00E24A8F"/>
    <w:rsid w:val="00E32E76"/>
    <w:rsid w:val="00E55ADC"/>
    <w:rsid w:val="00E95F5A"/>
    <w:rsid w:val="00EA3B7F"/>
    <w:rsid w:val="00EA4453"/>
    <w:rsid w:val="00F061E9"/>
    <w:rsid w:val="00F56B2D"/>
    <w:rsid w:val="00F71786"/>
    <w:rsid w:val="00F8605A"/>
    <w:rsid w:val="00F918AD"/>
    <w:rsid w:val="00F97A22"/>
    <w:rsid w:val="00FA491B"/>
    <w:rsid w:val="00FA69B9"/>
    <w:rsid w:val="00FB3601"/>
    <w:rsid w:val="0C946333"/>
    <w:rsid w:val="26071CD7"/>
    <w:rsid w:val="35501D31"/>
    <w:rsid w:val="3AFD2A1C"/>
    <w:rsid w:val="43C77A17"/>
    <w:rsid w:val="56983779"/>
    <w:rsid w:val="583938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styleId="2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B5E367-B323-4AB0-8E5E-F5E6BD7E336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115</Pages>
  <Words>9718</Words>
  <Characters>55395</Characters>
  <Lines>461</Lines>
  <Paragraphs>129</Paragraphs>
  <TotalTime>0</TotalTime>
  <ScaleCrop>false</ScaleCrop>
  <LinksUpToDate>false</LinksUpToDate>
  <CharactersWithSpaces>64984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hasee</cp:lastModifiedBy>
  <cp:lastPrinted>2022-03-04T02:09:00Z</cp:lastPrinted>
  <dcterms:modified xsi:type="dcterms:W3CDTF">2023-10-09T09:36:49Z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4E44EDF0EF9F46F78136DEDCDFA20100</vt:lpwstr>
  </property>
</Properties>
</file>